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招 标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val="en-US" w:eastAsia="zh-CN"/>
        </w:rPr>
        <w:t>中端中央监护仪</w:t>
      </w:r>
      <w:r>
        <w:rPr>
          <w:rFonts w:hint="eastAsia" w:ascii="宋体" w:hAnsi="宋体" w:eastAsia="宋体" w:cs="Times New Roman"/>
          <w:kern w:val="0"/>
          <w:sz w:val="36"/>
          <w:szCs w:val="36"/>
          <w:u w:val="single"/>
        </w:rPr>
        <w:t xml:space="preserve">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 xml:space="preserve">2020-JL13(03)-W10076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招标人：物资采购中心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二〇二〇年</w:t>
      </w:r>
      <w:r>
        <w:rPr>
          <w:rFonts w:hint="eastAsia" w:ascii="宋体" w:hAnsi="宋体" w:eastAsia="宋体" w:cs="Times New Roman"/>
          <w:kern w:val="0"/>
          <w:sz w:val="36"/>
          <w:szCs w:val="36"/>
          <w:lang w:eastAsia="zh-CN"/>
        </w:rPr>
        <w:t>十二</w:t>
      </w:r>
      <w:r>
        <w:rPr>
          <w:rFonts w:ascii="宋体" w:hAnsi="宋体" w:eastAsia="宋体" w:cs="Times New Roman"/>
          <w:kern w:val="0"/>
          <w:sz w:val="36"/>
          <w:szCs w:val="36"/>
        </w:rPr>
        <w:t>月</w:t>
      </w:r>
    </w:p>
    <w:p>
      <w:pPr>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投标</w:t>
      </w:r>
      <w:r>
        <w:rPr>
          <w:rFonts w:ascii="黑体" w:hAnsi="黑体" w:eastAsia="黑体" w:cs="Times New Roman"/>
          <w:bCs/>
          <w:kern w:val="0"/>
          <w:sz w:val="30"/>
          <w:szCs w:val="30"/>
        </w:rPr>
        <w:t>注意事项</w:t>
      </w:r>
    </w:p>
    <w:p>
      <w:pPr>
        <w:widowControl/>
        <w:ind w:firstLine="582" w:firstLineChars="200"/>
        <w:textAlignment w:val="baseline"/>
        <w:rPr>
          <w:rFonts w:ascii="黑体" w:hAnsi="黑体" w:eastAsia="黑体" w:cs="Times New Roman"/>
          <w:kern w:val="0"/>
          <w:sz w:val="30"/>
          <w:szCs w:val="30"/>
          <w:u w:color="000000"/>
        </w:rPr>
      </w:pP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一、投标人应特别留意招标文件上载明的投标开始截止时间，提前或逾期送达（含邮寄送达）的投标文件概不接受。</w:t>
      </w:r>
    </w:p>
    <w:p>
      <w:pPr>
        <w:widowControl/>
        <w:ind w:firstLine="582" w:firstLineChars="200"/>
        <w:rPr>
          <w:rFonts w:cs="Times New Roman" w:asciiTheme="minorEastAsia" w:hAnsiTheme="minorEastAsia"/>
          <w:snapToGrid w:val="0"/>
          <w:kern w:val="0"/>
          <w:sz w:val="30"/>
          <w:szCs w:val="30"/>
          <w:u w:color="000000"/>
        </w:rPr>
      </w:pPr>
      <w:r>
        <w:rPr>
          <w:rFonts w:hint="eastAsia" w:cs="Times New Roman" w:asciiTheme="minorEastAsia" w:hAnsiTheme="minorEastAsia"/>
          <w:kern w:val="0"/>
          <w:sz w:val="30"/>
          <w:szCs w:val="30"/>
          <w:u w:color="000000"/>
        </w:rPr>
        <w:t>二、请仔细检查招标文件要求提交的相关证书的有效期和审核信息。</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snapToGrid w:val="0"/>
          <w:kern w:val="0"/>
          <w:sz w:val="30"/>
          <w:szCs w:val="30"/>
          <w:u w:color="000000"/>
        </w:rPr>
        <w:t>三、</w:t>
      </w:r>
      <w:r>
        <w:rPr>
          <w:rFonts w:hint="eastAsia" w:ascii="宋体" w:hAnsi="宋体" w:eastAsia="宋体" w:cs="Times New Roman"/>
          <w:kern w:val="0"/>
          <w:sz w:val="30"/>
          <w:szCs w:val="30"/>
          <w:u w:color="000000"/>
        </w:rPr>
        <w:t>请仔细检查投标文件是否按要求盖单位公章、签名、签署日期、</w:t>
      </w:r>
      <w:r>
        <w:rPr>
          <w:rFonts w:hint="eastAsia" w:ascii="黑体" w:hAnsi="黑体" w:eastAsia="黑体" w:cs="Times New Roman"/>
          <w:kern w:val="0"/>
          <w:sz w:val="30"/>
          <w:szCs w:val="30"/>
          <w:u w:color="000000"/>
        </w:rPr>
        <w:t>胶装成册（</w:t>
      </w:r>
      <w:r>
        <w:rPr>
          <w:rFonts w:hint="eastAsia" w:cs="Times New Roman" w:asciiTheme="minorEastAsia" w:hAnsiTheme="minorEastAsia"/>
          <w:kern w:val="0"/>
          <w:sz w:val="30"/>
          <w:szCs w:val="30"/>
          <w:u w:color="000000"/>
        </w:rPr>
        <w:t>价格文件除外</w:t>
      </w:r>
      <w:r>
        <w:rPr>
          <w:rFonts w:hint="eastAsia" w:ascii="黑体" w:hAnsi="黑体" w:eastAsia="黑体" w:cs="Times New Roman"/>
          <w:kern w:val="0"/>
          <w:sz w:val="30"/>
          <w:szCs w:val="30"/>
          <w:u w:color="000000"/>
        </w:rPr>
        <w:t>）</w:t>
      </w:r>
      <w:r>
        <w:rPr>
          <w:rFonts w:hint="eastAsia" w:ascii="宋体" w:hAnsi="宋体" w:eastAsia="宋体" w:cs="Times New Roman"/>
          <w:kern w:val="0"/>
          <w:sz w:val="30"/>
          <w:szCs w:val="30"/>
          <w:u w:color="000000"/>
        </w:rPr>
        <w:t>、密封，投标文件需签名之处必须由当事人签署，否则可能会被视为无效投标</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四、带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号条款均为实质性响应指标要求，必须全部响应。若有一项带“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”条款未响应或不满足，均视为非实质性响应招标文件，按无效投标处理。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六、投标文件中除《价格文件》外，其他部分不得有任何涉及本次投标报价的信息，否则视为无效投标。</w:t>
      </w:r>
    </w:p>
    <w:p>
      <w:pPr>
        <w:widowControl/>
        <w:ind w:firstLine="582" w:firstLineChars="200"/>
        <w:rPr>
          <w:rFonts w:cs="Times New Roman" w:asciiTheme="minorEastAsia" w:hAnsiTheme="minorEastAsia"/>
          <w:kern w:val="0"/>
          <w:sz w:val="30"/>
          <w:szCs w:val="30"/>
          <w:u w:color="000000"/>
        </w:rPr>
      </w:pPr>
      <w:r>
        <w:rPr>
          <w:rFonts w:hint="eastAsia" w:ascii="黑体" w:hAnsi="黑体" w:eastAsia="黑体" w:cs="Times New Roman"/>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八、供应商发现购买招标文件时提交的相关资料被盗用或复制，应遵循法律途径解决，追究侵权者责任。</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九、投标人应对提供的资料真实性负责，如发现投标人借用或盗用他人相关资质的，将根据国家、军队及医院供应商管理规定予以处理。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十、开标当日，投标人授权代表需手持身份证原件、法定代表人授权书原件（法定代表人需持法定代表人资格证明书）及招标文件购买凭证进行现场点验。</w:t>
      </w:r>
    </w:p>
    <w:p>
      <w:pPr>
        <w:widowControl/>
        <w:jc w:val="left"/>
        <w:rPr>
          <w:rFonts w:ascii="方正小标宋简体" w:hAnsi="Times New Roman" w:eastAsia="方正小标宋简体" w:cs="Times New Roman"/>
          <w:kern w:val="0"/>
          <w:sz w:val="44"/>
          <w:szCs w:val="44"/>
        </w:rPr>
      </w:pPr>
      <w:r>
        <w:rPr>
          <w:rFonts w:ascii="方正小标宋简体" w:hAnsi="Times New Roman" w:eastAsia="方正小标宋简体" w:cs="Times New Roman"/>
          <w:kern w:val="0"/>
          <w:sz w:val="44"/>
          <w:szCs w:val="44"/>
        </w:rPr>
        <w:br w:type="page"/>
      </w:r>
    </w:p>
    <w:p>
      <w:pPr>
        <w:widowControl/>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目    录</w:t>
      </w:r>
    </w:p>
    <w:p>
      <w:pPr>
        <w:rPr>
          <w:rFonts w:ascii="Times New Roman" w:hAnsi="Times New Roman" w:eastAsia="宋体" w:cs="Times New Roman"/>
          <w:kern w:val="0"/>
          <w:sz w:val="36"/>
          <w:szCs w:val="36"/>
        </w:rPr>
      </w:pPr>
    </w:p>
    <w:p>
      <w:pPr>
        <w:pStyle w:val="13"/>
        <w:ind w:left="804"/>
        <w:rPr>
          <w:rFonts w:asciiTheme="minorHAnsi" w:hAnsiTheme="minorHAnsi" w:eastAsiaTheme="minorEastAsia" w:cstheme="minorBidi"/>
          <w:kern w:val="2"/>
          <w:szCs w:val="22"/>
        </w:rPr>
      </w:pPr>
      <w:r>
        <w:rPr>
          <w:rFonts w:ascii="仿宋_GB2312" w:hAnsi="宋体" w:eastAsia="仿宋_GB2312"/>
          <w:sz w:val="40"/>
          <w:szCs w:val="32"/>
        </w:rPr>
        <w:fldChar w:fldCharType="begin"/>
      </w:r>
      <w:r>
        <w:rPr>
          <w:rFonts w:ascii="仿宋_GB2312" w:hAnsi="宋体" w:eastAsia="仿宋_GB2312"/>
          <w:sz w:val="40"/>
          <w:szCs w:val="32"/>
        </w:rPr>
        <w:instrText xml:space="preserve"> TOC \o "1-3" \h \z \u </w:instrText>
      </w:r>
      <w:r>
        <w:rPr>
          <w:rFonts w:ascii="仿宋_GB2312" w:hAnsi="宋体" w:eastAsia="仿宋_GB2312"/>
          <w:sz w:val="40"/>
          <w:szCs w:val="32"/>
        </w:rPr>
        <w:fldChar w:fldCharType="separate"/>
      </w:r>
      <w:r>
        <w:fldChar w:fldCharType="begin"/>
      </w:r>
      <w:r>
        <w:instrText xml:space="preserve"> HYPERLINK \l "_Toc37172687"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招标公告</w:t>
      </w:r>
      <w:r>
        <w:rPr>
          <w:sz w:val="32"/>
        </w:rPr>
        <w:tab/>
      </w:r>
      <w:r>
        <w:rPr>
          <w:sz w:val="32"/>
        </w:rPr>
        <w:fldChar w:fldCharType="begin"/>
      </w:r>
      <w:r>
        <w:rPr>
          <w:sz w:val="32"/>
        </w:rPr>
        <w:instrText xml:space="preserve"> PAGEREF _Toc37172687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"_Toc37172688"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_Toc37172688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"_Toc37172689"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投标人</w:t>
      </w:r>
      <w:r>
        <w:rPr>
          <w:rStyle w:val="21"/>
          <w:rFonts w:hint="eastAsia" w:ascii="黑体" w:hAnsi="黑体" w:eastAsia="黑体"/>
          <w:sz w:val="32"/>
        </w:rPr>
        <w:t>须知</w:t>
      </w:r>
      <w:r>
        <w:rPr>
          <w:sz w:val="32"/>
        </w:rPr>
        <w:tab/>
      </w:r>
      <w:r>
        <w:rPr>
          <w:sz w:val="32"/>
        </w:rPr>
        <w:fldChar w:fldCharType="begin"/>
      </w:r>
      <w:r>
        <w:rPr>
          <w:sz w:val="32"/>
        </w:rPr>
        <w:instrText xml:space="preserve"> PAGEREF _Toc37172689 \h </w:instrText>
      </w:r>
      <w:r>
        <w:rPr>
          <w:sz w:val="32"/>
        </w:rPr>
        <w:fldChar w:fldCharType="separate"/>
      </w:r>
      <w:r>
        <w:rPr>
          <w:sz w:val="32"/>
        </w:rPr>
        <w:t>8</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"_Toc37172690"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_Toc37172690 \h </w:instrText>
      </w:r>
      <w:r>
        <w:rPr>
          <w:sz w:val="32"/>
        </w:rPr>
        <w:fldChar w:fldCharType="separate"/>
      </w:r>
      <w:r>
        <w:rPr>
          <w:sz w:val="32"/>
        </w:rPr>
        <w:t>31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"_Toc37172691"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投标文件格式</w:t>
      </w:r>
      <w:r>
        <w:rPr>
          <w:sz w:val="32"/>
        </w:rPr>
        <w:tab/>
      </w:r>
      <w:r>
        <w:rPr>
          <w:sz w:val="32"/>
        </w:rPr>
        <w:fldChar w:fldCharType="begin"/>
      </w:r>
      <w:r>
        <w:rPr>
          <w:sz w:val="32"/>
        </w:rPr>
        <w:instrText xml:space="preserve"> PAGEREF _Toc37172691 \h </w:instrText>
      </w:r>
      <w:r>
        <w:rPr>
          <w:sz w:val="32"/>
        </w:rPr>
        <w:fldChar w:fldCharType="separate"/>
      </w:r>
      <w:r>
        <w:rPr>
          <w:sz w:val="32"/>
        </w:rPr>
        <w:t>34</w:t>
      </w:r>
      <w:r>
        <w:rPr>
          <w:sz w:val="32"/>
        </w:rPr>
        <w:fldChar w:fldCharType="end"/>
      </w:r>
      <w:r>
        <w:rPr>
          <w:sz w:val="32"/>
        </w:rPr>
        <w:fldChar w:fldCharType="end"/>
      </w:r>
    </w:p>
    <w:p>
      <w:pPr>
        <w:jc w:val="distribute"/>
        <w:rPr>
          <w:rFonts w:ascii="仿宋_GB2312" w:hAnsi="宋体" w:eastAsia="仿宋_GB2312" w:cs="Times New Roman"/>
          <w:kern w:val="0"/>
          <w:sz w:val="32"/>
          <w:szCs w:val="32"/>
        </w:rPr>
      </w:pPr>
      <w:r>
        <w:rPr>
          <w:rFonts w:ascii="仿宋_GB2312" w:hAnsi="宋体" w:eastAsia="仿宋_GB2312" w:cs="Times New Roman"/>
          <w:kern w:val="0"/>
          <w:sz w:val="40"/>
          <w:szCs w:val="32"/>
        </w:rPr>
        <w:fldChar w:fldCharType="end"/>
      </w: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spacing w:beforeLines="100"/>
        <w:jc w:val="center"/>
        <w:rPr>
          <w:rFonts w:ascii="Times New Roman" w:hAnsi="Times New Roman" w:eastAsia="华文中宋" w:cs="Times New Roman"/>
          <w:kern w:val="0"/>
          <w:sz w:val="44"/>
          <w:szCs w:val="4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jc w:val="center"/>
        <w:rPr>
          <w:rFonts w:ascii="黑体" w:hAnsi="黑体" w:eastAsia="黑体"/>
          <w:kern w:val="0"/>
          <w:sz w:val="32"/>
          <w:szCs w:val="32"/>
        </w:rPr>
      </w:pPr>
      <w:bookmarkStart w:id="1" w:name="_Toc435540978"/>
      <w:bookmarkStart w:id="2" w:name="_Toc285612593"/>
      <w:bookmarkStart w:id="3" w:name="_Toc37172687"/>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招标公告</w:t>
      </w:r>
      <w:bookmarkEnd w:id="0"/>
      <w:bookmarkEnd w:id="3"/>
    </w:p>
    <w:p>
      <w:pPr>
        <w:adjustRightInd w:val="0"/>
        <w:snapToGrid w:val="0"/>
        <w:spacing w:line="440" w:lineRule="exact"/>
        <w:jc w:val="center"/>
        <w:rPr>
          <w:rFonts w:hint="eastAsia" w:ascii="Tahoma" w:hAnsi="Tahoma" w:cs="Tahoma"/>
          <w:b/>
          <w:bCs/>
          <w:kern w:val="0"/>
          <w:sz w:val="28"/>
          <w:szCs w:val="28"/>
        </w:rPr>
      </w:pPr>
      <w:bookmarkStart w:id="24" w:name="_GoBack"/>
      <w:r>
        <w:rPr>
          <w:rFonts w:hint="eastAsia" w:ascii="Tahoma" w:hAnsi="Tahoma" w:cs="Tahoma"/>
          <w:b/>
          <w:bCs/>
          <w:kern w:val="0"/>
          <w:sz w:val="28"/>
          <w:szCs w:val="28"/>
        </w:rPr>
        <w:t>关于中端中央监护仪的采购</w:t>
      </w:r>
      <w:r>
        <w:rPr>
          <w:rFonts w:ascii="Tahoma" w:hAnsi="Tahoma" w:cs="Tahoma"/>
          <w:b/>
          <w:bCs/>
          <w:kern w:val="0"/>
          <w:sz w:val="28"/>
          <w:szCs w:val="28"/>
        </w:rPr>
        <w:t>公告</w:t>
      </w:r>
      <w:r>
        <w:rPr>
          <w:rFonts w:hint="eastAsia" w:ascii="Tahoma" w:hAnsi="Tahoma" w:cs="Tahoma"/>
          <w:kern w:val="0"/>
          <w:sz w:val="28"/>
          <w:szCs w:val="28"/>
        </w:rPr>
        <w:t>2020-JL13(03)-W10076</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我院就以下项目进行国内公开招标，采购资金已全部落实，欢迎符合条件的供应商参加投标。</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项目名称：</w:t>
      </w:r>
      <w:r>
        <w:rPr>
          <w:rFonts w:hint="eastAsia" w:cs="Times New Roman" w:asciiTheme="minorEastAsia" w:hAnsiTheme="minorEastAsia"/>
          <w:b/>
          <w:kern w:val="0"/>
          <w:sz w:val="24"/>
          <w:szCs w:val="24"/>
        </w:rPr>
        <w:t>中端中央监护仪</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项目编号：</w:t>
      </w:r>
      <w:r>
        <w:rPr>
          <w:rFonts w:hint="eastAsia" w:cs="Times New Roman" w:asciiTheme="minorEastAsia" w:hAnsiTheme="minorEastAsia"/>
          <w:b/>
          <w:kern w:val="0"/>
          <w:sz w:val="24"/>
          <w:szCs w:val="24"/>
        </w:rPr>
        <w:t>2020-JL13(03)-W10076</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三、项目概况</w:t>
      </w:r>
      <w:r>
        <w:rPr>
          <w:rFonts w:cs="Times New Roman" w:asciiTheme="minorEastAsia" w:hAnsiTheme="minorEastAsia"/>
          <w:b/>
          <w:kern w:val="0"/>
          <w:sz w:val="24"/>
          <w:szCs w:val="24"/>
        </w:rPr>
        <w:t>：</w:t>
      </w:r>
    </w:p>
    <w:tbl>
      <w:tblPr>
        <w:tblStyle w:val="17"/>
        <w:tblW w:w="50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440"/>
        <w:gridCol w:w="709"/>
        <w:gridCol w:w="1559"/>
        <w:gridCol w:w="709"/>
        <w:gridCol w:w="796"/>
        <w:gridCol w:w="1472"/>
        <w:gridCol w:w="851"/>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货物</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技术要求</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1</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szCs w:val="21"/>
              </w:rPr>
            </w:pPr>
            <w:r>
              <w:rPr>
                <w:rFonts w:hint="eastAsia" w:cs="Times New Roman" w:asciiTheme="minorEastAsia" w:hAnsiTheme="minorEastAsia"/>
                <w:szCs w:val="21"/>
              </w:rPr>
              <w:t>中端中央</w:t>
            </w:r>
          </w:p>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监护仪</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详见招标文件第二部分</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台</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12</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825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投标人须对所投包内所有产品和数量进行投标报价，否则视为无效投标。</w:t>
            </w:r>
          </w:p>
          <w:p>
            <w:pPr>
              <w:adjustRightInd w:val="0"/>
              <w:snapToGrid w:val="0"/>
              <w:rPr>
                <w:rFonts w:cs="Times New Roman" w:asciiTheme="minorEastAsia" w:hAnsiTheme="minorEastAsia"/>
                <w:szCs w:val="21"/>
              </w:rPr>
            </w:pPr>
            <w:r>
              <w:rPr>
                <w:rFonts w:hint="eastAsia" w:cs="Times New Roman" w:asciiTheme="minorEastAsia" w:hAnsiTheme="minorEastAsia"/>
                <w:kern w:val="0"/>
                <w:szCs w:val="21"/>
              </w:rPr>
              <w:t>2.</w:t>
            </w:r>
            <w:r>
              <w:rPr>
                <w:rFonts w:hint="eastAsia" w:ascii="宋体" w:hAnsi="宋体"/>
              </w:rPr>
              <w:t>投标报价应包括所有货物供应、运输、安装、培训、售后服务价格。</w:t>
            </w:r>
          </w:p>
        </w:tc>
      </w:tr>
    </w:tbl>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四、投标人</w:t>
      </w:r>
      <w:r>
        <w:rPr>
          <w:rFonts w:cs="Times New Roman" w:asciiTheme="minorEastAsia" w:hAnsiTheme="minorEastAsia"/>
          <w:b/>
          <w:kern w:val="0"/>
          <w:sz w:val="24"/>
          <w:szCs w:val="24"/>
        </w:rPr>
        <w:t>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（一）符合《中华人民共和国政府采购法》第二十二条资格条件：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1.具有独立承担民事责任的能力；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2.具有良好的商业信誉和健全的财务会计制度；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3.具有履行合同所必需的设备和专业技术能力；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5.参加政府采购活动前3年内，在经营活动中没有重大违法记录；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6.法律、行政法规规定的其他条件。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（二）供应商成立时间不少于1年。</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（三）非外资独资或外资控股企业。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（五）本项目不接受联合体投标。</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（六）注册资金</w:t>
      </w:r>
      <w:r>
        <w:rPr>
          <w:rFonts w:cs="Times New Roman" w:asciiTheme="minorEastAsia" w:hAnsiTheme="minorEastAsia"/>
          <w:kern w:val="0"/>
          <w:sz w:val="24"/>
          <w:szCs w:val="24"/>
        </w:rPr>
        <w:t>200</w:t>
      </w:r>
      <w:r>
        <w:rPr>
          <w:rFonts w:hint="eastAsia" w:cs="Times New Roman" w:asciiTheme="minorEastAsia" w:hAnsiTheme="minorEastAsia"/>
          <w:kern w:val="0"/>
          <w:sz w:val="24"/>
          <w:szCs w:val="24"/>
        </w:rPr>
        <w:t>万（含）以上生产或销售型企业。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（七）投标人应具备本项目生产或者销售范围（以投标人提供的营业执照、经营许可证为准）。</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五、招标</w:t>
      </w:r>
      <w:r>
        <w:rPr>
          <w:rFonts w:cs="Times New Roman" w:asciiTheme="minorEastAsia" w:hAnsiTheme="minorEastAsia"/>
          <w:b/>
          <w:kern w:val="0"/>
          <w:sz w:val="24"/>
          <w:szCs w:val="24"/>
        </w:rPr>
        <w:t>文件发售时间、地点、方式及售价</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（一）发售时间：</w:t>
      </w:r>
      <w:r>
        <w:rPr>
          <w:rFonts w:hint="eastAsia" w:cs="Times New Roman" w:asciiTheme="minorEastAsia" w:hAnsiTheme="minorEastAsia"/>
          <w:kern w:val="0"/>
          <w:sz w:val="24"/>
          <w:szCs w:val="24"/>
          <w:u w:val="single"/>
        </w:rPr>
        <w:t xml:space="preserve"> 2020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12</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18</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日至</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12</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25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日（08:00—11:30，15:00—17:00）（北京时间、节假日除外）。</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（二）发售地点：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（三）发售方式：投标人指定专人现场领取，不接受邮寄等其他方式。投标人购买招标文件时需提供以下材料原件或装订成册加盖单位公章的复印件1份。</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11.医疗器械经营许可证或二类备案凭证（需具备投标产品经营资格)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14.投标产品《医疗器械产品注册证》（所投产品不属于医疗器械的无需提供）；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15.生产企业对代理公司投标授权书（进口产品需提供原产厂家对中国总代的中英文授权书复印件或同步翻译件）。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（四）招标文件售价：200元/份，售后不退。</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六、投标开始和截止</w:t>
      </w:r>
      <w:r>
        <w:rPr>
          <w:rFonts w:cs="Times New Roman" w:asciiTheme="minorEastAsia" w:hAnsiTheme="minorEastAsia"/>
          <w:b/>
          <w:kern w:val="0"/>
          <w:sz w:val="24"/>
          <w:szCs w:val="24"/>
        </w:rPr>
        <w:t>时间</w:t>
      </w:r>
      <w:r>
        <w:rPr>
          <w:rFonts w:hint="eastAsia" w:cs="Times New Roman" w:asciiTheme="minorEastAsia" w:hAnsiTheme="minorEastAsia"/>
          <w:b/>
          <w:kern w:val="0"/>
          <w:sz w:val="24"/>
          <w:szCs w:val="24"/>
        </w:rPr>
        <w:t>及</w:t>
      </w:r>
      <w:r>
        <w:rPr>
          <w:rFonts w:cs="Times New Roman" w:asciiTheme="minorEastAsia" w:hAnsiTheme="minorEastAsia"/>
          <w:b/>
          <w:kern w:val="0"/>
          <w:sz w:val="24"/>
          <w:szCs w:val="24"/>
        </w:rPr>
        <w:t>地点</w:t>
      </w:r>
      <w:r>
        <w:rPr>
          <w:rFonts w:hint="eastAsia" w:cs="Times New Roman" w:asciiTheme="minorEastAsia" w:hAnsiTheme="minorEastAsia"/>
          <w:b/>
          <w:kern w:val="0"/>
          <w:sz w:val="24"/>
          <w:szCs w:val="24"/>
        </w:rPr>
        <w:t>、方式</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（一）投标开始时间：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12</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8</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（二）投标截止时间：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color w:val="FF0000"/>
          <w:kern w:val="0"/>
          <w:sz w:val="24"/>
          <w:szCs w:val="24"/>
          <w:u w:val="single"/>
          <w:lang w:val="en-US" w:eastAsia="zh-CN"/>
        </w:rPr>
        <w:t>12</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（四）投标方式：指定专人递交投标文件，不接受邮寄等其他方式。</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七、</w:t>
      </w:r>
      <w:r>
        <w:rPr>
          <w:rFonts w:hint="eastAsia" w:cs="Times New Roman" w:asciiTheme="minorEastAsia" w:hAnsiTheme="minorEastAsia"/>
          <w:b/>
          <w:kern w:val="0"/>
          <w:sz w:val="24"/>
          <w:szCs w:val="24"/>
        </w:rPr>
        <w:tab/>
      </w:r>
      <w:r>
        <w:rPr>
          <w:rFonts w:hint="eastAsia" w:cs="Times New Roman" w:asciiTheme="minorEastAsia" w:hAnsiTheme="minorEastAsia"/>
          <w:b/>
          <w:kern w:val="0"/>
          <w:sz w:val="24"/>
          <w:szCs w:val="24"/>
        </w:rPr>
        <w:t>开标时间、地点</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（一）开标时间：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12</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（二）开标地点：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八、</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w:t>
      </w:r>
      <w:r>
        <w:rPr>
          <w:rFonts w:hint="eastAsia" w:cs="Times New Roman" w:asciiTheme="minorEastAsia" w:hAnsiTheme="minorEastAsia"/>
          <w:b/>
          <w:kern w:val="0"/>
          <w:sz w:val="24"/>
          <w:szCs w:val="24"/>
        </w:rPr>
        <w:t>同步</w:t>
      </w:r>
      <w:r>
        <w:rPr>
          <w:rFonts w:cs="Times New Roman" w:asciiTheme="minorEastAsia" w:hAnsiTheme="minorEastAsia"/>
          <w:b/>
          <w:kern w:val="0"/>
          <w:sz w:val="24"/>
          <w:szCs w:val="24"/>
        </w:rPr>
        <w:t>在</w:t>
      </w:r>
      <w:r>
        <w:rPr>
          <w:rFonts w:hint="eastAsia" w:cs="Times New Roman" w:asciiTheme="minorEastAsia" w:hAnsiTheme="minorEastAsia"/>
          <w:b/>
          <w:kern w:val="0"/>
          <w:sz w:val="24"/>
          <w:szCs w:val="24"/>
          <w:lang w:val="zh-CN"/>
        </w:rPr>
        <w:t>《军队采购网》（</w:t>
      </w:r>
      <w:r>
        <w:rPr>
          <w:rFonts w:hint="eastAsia" w:cs="Times New Roman" w:asciiTheme="minorEastAsia" w:hAnsiTheme="minorEastAsia"/>
          <w:b/>
          <w:kern w:val="0"/>
          <w:sz w:val="24"/>
          <w:szCs w:val="24"/>
          <w:lang w:val="en-US" w:eastAsia="zh-CN"/>
        </w:rPr>
        <w:t>www.plap.cn</w:t>
      </w:r>
      <w:r>
        <w:rPr>
          <w:rFonts w:hint="eastAsia" w:cs="Times New Roman" w:asciiTheme="minorEastAsia" w:hAnsiTheme="minorEastAsia"/>
          <w:b/>
          <w:kern w:val="0"/>
          <w:sz w:val="24"/>
          <w:szCs w:val="24"/>
          <w:lang w:val="zh-CN"/>
        </w:rPr>
        <w:t>）、</w:t>
      </w:r>
      <w:r>
        <w:rPr>
          <w:rFonts w:cs="Times New Roman" w:asciiTheme="minorEastAsia" w:hAnsiTheme="minorEastAsia"/>
          <w:b/>
          <w:kern w:val="0"/>
          <w:sz w:val="24"/>
          <w:szCs w:val="24"/>
        </w:rPr>
        <w:t>《</w:t>
      </w:r>
      <w:r>
        <w:rPr>
          <w:rFonts w:hint="eastAsia" w:cs="Times New Roman" w:asciiTheme="minorEastAsia" w:hAnsiTheme="minorEastAsia"/>
          <w:b/>
          <w:kern w:val="0"/>
          <w:sz w:val="24"/>
          <w:szCs w:val="24"/>
        </w:rPr>
        <w:t>中国招标</w:t>
      </w:r>
      <w:r>
        <w:rPr>
          <w:rFonts w:cs="Times New Roman" w:asciiTheme="minorEastAsia" w:hAnsiTheme="minorEastAsia"/>
          <w:b/>
          <w:kern w:val="0"/>
          <w:sz w:val="24"/>
          <w:szCs w:val="24"/>
        </w:rPr>
        <w:t>网》</w:t>
      </w:r>
      <w:r>
        <w:rPr>
          <w:rFonts w:hint="eastAsia" w:cs="Times New Roman" w:asciiTheme="minorEastAsia" w:hAnsiTheme="minorEastAsia"/>
          <w:b/>
          <w:kern w:val="0"/>
          <w:sz w:val="24"/>
          <w:szCs w:val="24"/>
        </w:rPr>
        <w:t>（</w:t>
      </w:r>
      <w:r>
        <w:fldChar w:fldCharType="begin"/>
      </w:r>
      <w:r>
        <w:instrText xml:space="preserve"> HYPERLINK "http://www.zhaobiao.cn" </w:instrText>
      </w:r>
      <w:r>
        <w:fldChar w:fldCharType="separate"/>
      </w:r>
      <w:r>
        <w:rPr>
          <w:rStyle w:val="21"/>
          <w:rFonts w:asciiTheme="minorEastAsia" w:hAnsiTheme="minorEastAsia"/>
          <w:b/>
          <w:color w:val="auto"/>
          <w:kern w:val="0"/>
          <w:sz w:val="24"/>
          <w:szCs w:val="24"/>
          <w:u w:val="none"/>
        </w:rPr>
        <w:t>www.zhaobiao.cn</w:t>
      </w:r>
      <w:r>
        <w:rPr>
          <w:rStyle w:val="21"/>
          <w:rFonts w:asciiTheme="minorEastAsia" w:hAnsiTheme="minorEastAsia"/>
          <w:b/>
          <w:color w:val="auto"/>
          <w:kern w:val="0"/>
          <w:sz w:val="24"/>
          <w:szCs w:val="24"/>
          <w:u w:val="none"/>
        </w:rPr>
        <w:fldChar w:fldCharType="end"/>
      </w:r>
      <w:r>
        <w:rPr>
          <w:rFonts w:hint="eastAsia" w:cs="Times New Roman" w:asciiTheme="minorEastAsia" w:hAnsiTheme="minorEastAsia"/>
          <w:b/>
          <w:kern w:val="0"/>
          <w:sz w:val="24"/>
          <w:szCs w:val="24"/>
        </w:rPr>
        <w:t>）及我院官网（</w:t>
      </w:r>
      <w:r>
        <w:rPr>
          <w:rFonts w:cs="Times New Roman" w:asciiTheme="minorEastAsia" w:hAnsiTheme="minorEastAsia"/>
          <w:b/>
          <w:kern w:val="0"/>
          <w:sz w:val="24"/>
          <w:szCs w:val="24"/>
        </w:rPr>
        <w:t>www.xnyy.cn</w:t>
      </w:r>
      <w:r>
        <w:rPr>
          <w:rFonts w:hint="eastAsia" w:cs="Times New Roman" w:asciiTheme="minorEastAsia" w:hAnsiTheme="minorEastAsia"/>
          <w:b/>
          <w:kern w:val="0"/>
          <w:sz w:val="24"/>
          <w:szCs w:val="24"/>
        </w:rPr>
        <w:t>）</w:t>
      </w:r>
      <w:r>
        <w:rPr>
          <w:rFonts w:cs="Times New Roman" w:asciiTheme="minorEastAsia" w:hAnsiTheme="minorEastAsia"/>
          <w:b/>
          <w:kern w:val="0"/>
          <w:sz w:val="24"/>
          <w:szCs w:val="24"/>
        </w:rPr>
        <w:t>上发布。</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九、招标人</w:t>
      </w:r>
      <w:r>
        <w:rPr>
          <w:rFonts w:cs="Times New Roman" w:asciiTheme="minorEastAsia" w:hAnsiTheme="minorEastAsia"/>
          <w:b/>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w:t>
      </w:r>
      <w:r>
        <w:rPr>
          <w:rFonts w:hint="eastAsia" w:cs="Times New Roman" w:asciiTheme="minorEastAsia" w:hAnsiTheme="minorEastAsia"/>
          <w:kern w:val="0"/>
          <w:sz w:val="24"/>
          <w:szCs w:val="24"/>
          <w:u w:val="single"/>
          <w:lang w:eastAsia="zh-CN"/>
        </w:rPr>
        <w:t>谭</w:t>
      </w:r>
      <w:r>
        <w:rPr>
          <w:rFonts w:hint="eastAsia" w:cs="Times New Roman" w:asciiTheme="minorEastAsia" w:hAnsiTheme="minorEastAsia"/>
          <w:kern w:val="0"/>
          <w:sz w:val="24"/>
          <w:szCs w:val="24"/>
          <w:u w:val="single"/>
        </w:rPr>
        <w:t xml:space="preserve">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w:t>
      </w:r>
      <w:r>
        <w:rPr>
          <w:rFonts w:hint="eastAsia" w:cs="Times New Roman" w:asciiTheme="minorEastAsia" w:hAnsiTheme="minorEastAsia"/>
          <w:kern w:val="0"/>
          <w:sz w:val="24"/>
          <w:szCs w:val="24"/>
          <w:u w:val="single"/>
          <w:lang w:val="en-US" w:eastAsia="zh-CN"/>
        </w:rPr>
        <w:t>/38766153</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 xml:space="preserve">（08:00—12:00，15:00—18:00）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adjustRightInd w:val="0"/>
        <w:snapToGrid w:val="0"/>
        <w:spacing w:afterLines="50" w:line="440" w:lineRule="exact"/>
        <w:ind w:left="4167" w:leftChars="432" w:hanging="3299" w:hangingChars="1428"/>
        <w:jc w:val="left"/>
        <w:rPr>
          <w:rFonts w:cs="Times New Roman" w:asciiTheme="minorEastAsia" w:hAnsiTheme="minorEastAsia"/>
          <w:kern w:val="0"/>
          <w:sz w:val="24"/>
          <w:szCs w:val="24"/>
        </w:rPr>
      </w:pPr>
    </w:p>
    <w:p>
      <w:pPr>
        <w:adjustRightInd w:val="0"/>
        <w:snapToGrid w:val="0"/>
        <w:spacing w:line="440" w:lineRule="exact"/>
        <w:ind w:left="4672" w:leftChars="2320" w:hanging="9" w:hangingChars="4"/>
        <w:rPr>
          <w:rFonts w:cs="Times New Roman" w:asciiTheme="minorEastAsia" w:hAnsiTheme="minorEastAsia"/>
          <w:kern w:val="0"/>
          <w:sz w:val="24"/>
          <w:szCs w:val="24"/>
        </w:rPr>
      </w:pPr>
      <w:r>
        <w:rPr>
          <w:rFonts w:hint="eastAsia" w:cs="Times New Roman" w:asciiTheme="minorEastAsia" w:hAnsiTheme="minorEastAsia"/>
          <w:kern w:val="0"/>
          <w:sz w:val="24"/>
          <w:szCs w:val="24"/>
        </w:rPr>
        <w:t>招标人：物资采购中心</w:t>
      </w:r>
    </w:p>
    <w:p>
      <w:pPr>
        <w:adjustRightInd w:val="0"/>
        <w:snapToGrid w:val="0"/>
        <w:spacing w:line="440" w:lineRule="exact"/>
        <w:ind w:left="4723" w:leftChars="235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2020 年 </w:t>
      </w:r>
      <w:r>
        <w:rPr>
          <w:rFonts w:hint="eastAsia" w:cs="Times New Roman" w:asciiTheme="minorEastAsia" w:hAnsiTheme="minorEastAsia"/>
          <w:color w:val="FF0000"/>
          <w:kern w:val="0"/>
          <w:sz w:val="24"/>
          <w:szCs w:val="24"/>
          <w:lang w:val="en-US" w:eastAsia="zh-CN"/>
        </w:rPr>
        <w:t>12</w:t>
      </w:r>
      <w:r>
        <w:rPr>
          <w:rFonts w:hint="eastAsia" w:cs="Times New Roman" w:asciiTheme="minorEastAsia" w:hAnsiTheme="minorEastAsia"/>
          <w:kern w:val="0"/>
          <w:sz w:val="24"/>
          <w:szCs w:val="24"/>
        </w:rPr>
        <w:t xml:space="preserve"> 月 </w:t>
      </w:r>
      <w:r>
        <w:rPr>
          <w:rFonts w:hint="eastAsia" w:cs="Times New Roman" w:asciiTheme="minorEastAsia" w:hAnsiTheme="minorEastAsia"/>
          <w:color w:val="FF0000"/>
          <w:kern w:val="0"/>
          <w:sz w:val="24"/>
          <w:szCs w:val="24"/>
          <w:lang w:val="en-US" w:eastAsia="zh-CN"/>
        </w:rPr>
        <w:t>18</w:t>
      </w:r>
      <w:r>
        <w:rPr>
          <w:rFonts w:hint="eastAsia" w:cs="Times New Roman" w:asciiTheme="minorEastAsia" w:hAnsiTheme="minorEastAsia"/>
          <w:kern w:val="0"/>
          <w:sz w:val="24"/>
          <w:szCs w:val="24"/>
        </w:rPr>
        <w:t xml:space="preserve"> 日</w:t>
      </w:r>
    </w:p>
    <w:p>
      <w:pPr>
        <w:autoSpaceDE w:val="0"/>
        <w:autoSpaceDN w:val="0"/>
        <w:adjustRightInd w:val="0"/>
        <w:snapToGrid w:val="0"/>
        <w:spacing w:line="440" w:lineRule="exact"/>
        <w:rPr>
          <w:rFonts w:cs="Times New Roman" w:asciiTheme="minorEastAsia" w:hAnsiTheme="minorEastAsia"/>
          <w:kern w:val="0"/>
          <w:sz w:val="24"/>
          <w:szCs w:val="24"/>
        </w:rPr>
        <w:sectPr>
          <w:headerReference r:id="rId3" w:type="default"/>
          <w:footerReference r:id="rId4" w:type="default"/>
          <w:pgSz w:w="11906" w:h="16838"/>
          <w:pgMar w:top="2098" w:right="1474" w:bottom="1985" w:left="1588" w:header="851" w:footer="992" w:gutter="0"/>
          <w:pgNumType w:start="1"/>
          <w:cols w:space="425" w:num="1"/>
          <w:docGrid w:type="linesAndChars" w:linePitch="579" w:charSpace="-1844"/>
        </w:sectPr>
      </w:pPr>
    </w:p>
    <w:bookmarkEnd w:id="24"/>
    <w:p>
      <w:pPr>
        <w:pStyle w:val="2"/>
        <w:adjustRightInd w:val="0"/>
        <w:snapToGrid w:val="0"/>
        <w:spacing w:line="440" w:lineRule="exact"/>
        <w:jc w:val="center"/>
        <w:rPr>
          <w:rFonts w:ascii="黑体" w:hAnsi="黑体" w:eastAsia="黑体"/>
          <w:kern w:val="0"/>
          <w:sz w:val="32"/>
          <w:szCs w:val="32"/>
          <w:lang w:val="zh-CN"/>
        </w:rPr>
      </w:pPr>
      <w:bookmarkStart w:id="4" w:name="_Toc37172688"/>
      <w:bookmarkStart w:id="5" w:name="_Toc390713967"/>
      <w:bookmarkStart w:id="6" w:name="_Toc285612594"/>
      <w:bookmarkStart w:id="7" w:name="_Toc435540979"/>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货物一览表</w:t>
      </w:r>
      <w:bookmarkStart w:id="8" w:name="_Toc285612596"/>
      <w:r>
        <w:rPr>
          <w:rFonts w:cs="Times New Roman" w:asciiTheme="minorEastAsia" w:hAnsiTheme="minorEastAsia"/>
          <w:b/>
          <w:kern w:val="0"/>
          <w:sz w:val="24"/>
          <w:szCs w:val="24"/>
        </w:rPr>
        <w:t>及技术</w:t>
      </w:r>
      <w:r>
        <w:rPr>
          <w:rFonts w:hint="eastAsia" w:cs="Times New Roman" w:asciiTheme="minorEastAsia" w:hAnsiTheme="minorEastAsia"/>
          <w:b/>
          <w:kern w:val="0"/>
          <w:sz w:val="24"/>
          <w:szCs w:val="24"/>
        </w:rPr>
        <w:t>要求</w:t>
      </w:r>
    </w:p>
    <w:tbl>
      <w:tblPr>
        <w:tblStyle w:val="17"/>
        <w:tblW w:w="4862" w:type="pct"/>
        <w:jc w:val="center"/>
        <w:tblLayout w:type="autofit"/>
        <w:tblCellMar>
          <w:top w:w="0" w:type="dxa"/>
          <w:left w:w="108" w:type="dxa"/>
          <w:bottom w:w="0" w:type="dxa"/>
          <w:right w:w="108" w:type="dxa"/>
        </w:tblCellMar>
      </w:tblPr>
      <w:tblGrid>
        <w:gridCol w:w="851"/>
        <w:gridCol w:w="2268"/>
        <w:gridCol w:w="1275"/>
        <w:gridCol w:w="2421"/>
        <w:gridCol w:w="1059"/>
        <w:gridCol w:w="936"/>
      </w:tblGrid>
      <w:tr>
        <w:tblPrEx>
          <w:tblCellMar>
            <w:top w:w="0" w:type="dxa"/>
            <w:left w:w="108" w:type="dxa"/>
            <w:bottom w:w="0" w:type="dxa"/>
            <w:right w:w="108" w:type="dxa"/>
          </w:tblCellMar>
        </w:tblPrEx>
        <w:trPr>
          <w:trHeight w:val="956" w:hRule="exac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2268"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物资名称</w:t>
            </w:r>
          </w:p>
        </w:tc>
        <w:tc>
          <w:tcPr>
            <w:tcW w:w="1275"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规格</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型号</w:t>
            </w:r>
          </w:p>
        </w:tc>
        <w:tc>
          <w:tcPr>
            <w:tcW w:w="242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技术指标参数要求</w:t>
            </w:r>
          </w:p>
        </w:tc>
        <w:tc>
          <w:tcPr>
            <w:tcW w:w="1059"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计量</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单位</w:t>
            </w:r>
          </w:p>
        </w:tc>
        <w:tc>
          <w:tcPr>
            <w:tcW w:w="93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数量</w:t>
            </w:r>
          </w:p>
        </w:tc>
      </w:tr>
      <w:tr>
        <w:tblPrEx>
          <w:tblCellMar>
            <w:top w:w="0" w:type="dxa"/>
            <w:left w:w="108" w:type="dxa"/>
            <w:bottom w:w="0" w:type="dxa"/>
            <w:right w:w="108" w:type="dxa"/>
          </w:tblCellMar>
        </w:tblPrEx>
        <w:trPr>
          <w:trHeight w:val="855" w:hRule="exac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szCs w:val="21"/>
              </w:rPr>
              <w:t>中端中央监护仪</w:t>
            </w:r>
          </w:p>
        </w:tc>
        <w:tc>
          <w:tcPr>
            <w:tcW w:w="1275"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w:t>
            </w:r>
          </w:p>
        </w:tc>
        <w:tc>
          <w:tcPr>
            <w:tcW w:w="24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详见下表</w:t>
            </w:r>
          </w:p>
        </w:tc>
        <w:tc>
          <w:tcPr>
            <w:tcW w:w="1059" w:type="dxa"/>
            <w:tcBorders>
              <w:top w:val="single" w:color="auto" w:sz="4" w:space="0"/>
              <w:left w:val="nil"/>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eastAsiaTheme="minorEastAsia"/>
                <w:kern w:val="0"/>
                <w:sz w:val="24"/>
                <w:szCs w:val="24"/>
                <w:lang w:eastAsia="zh-CN"/>
              </w:rPr>
            </w:pPr>
            <w:r>
              <w:rPr>
                <w:rFonts w:hint="eastAsia" w:cs="Times New Roman" w:asciiTheme="minorEastAsia" w:hAnsiTheme="minorEastAsia"/>
                <w:kern w:val="0"/>
                <w:sz w:val="24"/>
                <w:szCs w:val="24"/>
                <w:lang w:eastAsia="zh-CN"/>
              </w:rPr>
              <w:t>台</w:t>
            </w:r>
          </w:p>
        </w:tc>
        <w:tc>
          <w:tcPr>
            <w:tcW w:w="936"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hint="default" w:cs="Times New Roman" w:asciiTheme="minorEastAsia" w:hAnsiTheme="minorEastAsia" w:eastAsiaTheme="minorEastAsia"/>
                <w:kern w:val="0"/>
                <w:sz w:val="24"/>
                <w:szCs w:val="24"/>
                <w:lang w:val="en-US" w:eastAsia="zh-CN"/>
              </w:rPr>
            </w:pPr>
            <w:r>
              <w:rPr>
                <w:rFonts w:hint="eastAsia" w:cs="Times New Roman" w:asciiTheme="minorEastAsia" w:hAnsiTheme="minorEastAsia"/>
                <w:kern w:val="0"/>
                <w:sz w:val="24"/>
                <w:szCs w:val="24"/>
                <w:lang w:val="en-US" w:eastAsia="zh-CN"/>
              </w:rPr>
              <w:t>12</w:t>
            </w:r>
          </w:p>
        </w:tc>
      </w:tr>
      <w:bookmarkEnd w:id="8"/>
    </w:tbl>
    <w:p>
      <w:pPr>
        <w:adjustRightInd w:val="0"/>
        <w:snapToGrid w:val="0"/>
        <w:spacing w:line="440" w:lineRule="exact"/>
        <w:jc w:val="center"/>
        <w:rPr>
          <w:rFonts w:ascii="宋体" w:hAnsi="宋体" w:cs="宋体"/>
          <w:bCs/>
          <w:kern w:val="0"/>
          <w:sz w:val="44"/>
          <w:szCs w:val="44"/>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474"/>
        <w:gridCol w:w="4188"/>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9" w:type="dxa"/>
            <w:gridSpan w:val="4"/>
            <w:tcBorders>
              <w:top w:val="nil"/>
              <w:left w:val="nil"/>
              <w:right w:val="nil"/>
            </w:tcBorders>
            <w:noWrap w:val="0"/>
            <w:vAlign w:val="center"/>
          </w:tcPr>
          <w:p>
            <w:pPr>
              <w:jc w:val="center"/>
              <w:rPr>
                <w:rFonts w:ascii="宋体" w:hAnsi="宋体" w:cs="宋体"/>
                <w:bCs/>
                <w:kern w:val="0"/>
                <w:sz w:val="44"/>
                <w:szCs w:val="44"/>
              </w:rPr>
            </w:pPr>
            <w:r>
              <w:rPr>
                <w:rFonts w:hint="eastAsia" w:ascii="宋体" w:hAnsi="宋体" w:cs="宋体"/>
                <w:bCs/>
                <w:kern w:val="0"/>
                <w:sz w:val="44"/>
                <w:szCs w:val="44"/>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jc w:val="center"/>
              <w:rPr>
                <w:rFonts w:ascii="宋体" w:hAnsi="宋体" w:cs="Calibri"/>
                <w:b/>
                <w:sz w:val="24"/>
                <w:szCs w:val="18"/>
              </w:rPr>
            </w:pPr>
            <w:r>
              <w:rPr>
                <w:rFonts w:ascii="宋体" w:hAnsi="宋体" w:cs="Calibri"/>
                <w:b/>
                <w:sz w:val="24"/>
                <w:szCs w:val="18"/>
              </w:rPr>
              <w:t>序号</w:t>
            </w:r>
          </w:p>
        </w:tc>
        <w:tc>
          <w:tcPr>
            <w:tcW w:w="2474" w:type="dxa"/>
            <w:noWrap w:val="0"/>
            <w:vAlign w:val="center"/>
          </w:tcPr>
          <w:p>
            <w:pPr>
              <w:jc w:val="center"/>
              <w:rPr>
                <w:rFonts w:ascii="宋体" w:hAnsi="宋体" w:cs="Calibri"/>
                <w:b/>
                <w:sz w:val="24"/>
                <w:szCs w:val="18"/>
              </w:rPr>
            </w:pPr>
            <w:r>
              <w:rPr>
                <w:rFonts w:ascii="宋体" w:hAnsi="宋体" w:cs="Calibri"/>
                <w:b/>
                <w:sz w:val="24"/>
                <w:szCs w:val="18"/>
              </w:rPr>
              <w:t>技术和性能参数名称</w:t>
            </w:r>
          </w:p>
        </w:tc>
        <w:tc>
          <w:tcPr>
            <w:tcW w:w="4188" w:type="dxa"/>
            <w:noWrap w:val="0"/>
            <w:vAlign w:val="center"/>
          </w:tcPr>
          <w:p>
            <w:pPr>
              <w:jc w:val="center"/>
              <w:rPr>
                <w:rFonts w:ascii="宋体" w:hAnsi="宋体" w:cs="Calibri"/>
                <w:b/>
                <w:sz w:val="24"/>
                <w:szCs w:val="18"/>
              </w:rPr>
            </w:pPr>
            <w:r>
              <w:rPr>
                <w:rFonts w:ascii="宋体" w:hAnsi="宋体" w:cs="Calibri"/>
                <w:b/>
                <w:sz w:val="24"/>
                <w:szCs w:val="18"/>
              </w:rPr>
              <w:t>技术参数和性能要求</w:t>
            </w:r>
          </w:p>
        </w:tc>
        <w:tc>
          <w:tcPr>
            <w:tcW w:w="1440" w:type="dxa"/>
            <w:noWrap w:val="0"/>
            <w:vAlign w:val="center"/>
          </w:tcPr>
          <w:p>
            <w:pPr>
              <w:jc w:val="center"/>
              <w:rPr>
                <w:rFonts w:ascii="宋体" w:hAnsi="宋体" w:cs="Calibri"/>
                <w:b/>
                <w:sz w:val="24"/>
                <w:szCs w:val="18"/>
              </w:rPr>
            </w:pPr>
            <w:r>
              <w:rPr>
                <w:rFonts w:ascii="宋体" w:hAnsi="宋体" w:cs="Calibri"/>
                <w:b/>
                <w:sz w:val="24"/>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b/>
                <w:sz w:val="21"/>
                <w:szCs w:val="21"/>
              </w:rPr>
            </w:pPr>
            <w:r>
              <w:rPr>
                <w:rFonts w:ascii="宋体" w:hAnsi="宋体" w:cs="Calibri"/>
                <w:b/>
                <w:sz w:val="21"/>
                <w:szCs w:val="21"/>
              </w:rPr>
              <w:t>1</w:t>
            </w:r>
          </w:p>
        </w:tc>
        <w:tc>
          <w:tcPr>
            <w:tcW w:w="2474"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b/>
                <w:sz w:val="21"/>
                <w:szCs w:val="21"/>
              </w:rPr>
            </w:pPr>
            <w:r>
              <w:rPr>
                <w:rFonts w:ascii="宋体" w:hAnsi="宋体" w:cs="Calibri"/>
                <w:b/>
                <w:sz w:val="21"/>
                <w:szCs w:val="21"/>
              </w:rPr>
              <w:t>设备使用需求</w:t>
            </w:r>
          </w:p>
        </w:tc>
        <w:tc>
          <w:tcPr>
            <w:tcW w:w="4188" w:type="dxa"/>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cs="Calibri"/>
                <w:sz w:val="21"/>
                <w:szCs w:val="21"/>
              </w:rPr>
            </w:pPr>
            <w:r>
              <w:rPr>
                <w:rFonts w:hint="eastAsia" w:ascii="宋体" w:hAnsi="宋体" w:cs="Calibri"/>
                <w:sz w:val="21"/>
                <w:szCs w:val="21"/>
              </w:rPr>
              <w:t>主要用于连续监测危重病人生命体征，包括心电、血氧、无创血压、有创血压辅助判断病人情况</w:t>
            </w:r>
          </w:p>
        </w:tc>
        <w:tc>
          <w:tcPr>
            <w:tcW w:w="144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ascii="宋体" w:hAnsi="宋体" w:cs="Calibri"/>
                <w:sz w:val="21"/>
                <w:szCs w:val="21"/>
              </w:rPr>
              <w:t>1.1</w:t>
            </w:r>
          </w:p>
        </w:tc>
        <w:tc>
          <w:tcPr>
            <w:tcW w:w="2474"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ascii="宋体" w:hAnsi="宋体" w:cs="Calibri"/>
                <w:sz w:val="21"/>
                <w:szCs w:val="21"/>
              </w:rPr>
              <w:t>设备用途</w:t>
            </w:r>
          </w:p>
        </w:tc>
        <w:tc>
          <w:tcPr>
            <w:tcW w:w="4188" w:type="dxa"/>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cs="Calibri"/>
                <w:sz w:val="21"/>
                <w:szCs w:val="21"/>
              </w:rPr>
            </w:pPr>
            <w:r>
              <w:rPr>
                <w:rFonts w:ascii="宋体" w:hAnsi="宋体" w:cs="Calibri"/>
                <w:sz w:val="21"/>
                <w:szCs w:val="21"/>
              </w:rPr>
              <w:t>对患者进行实时生命体征监测</w:t>
            </w:r>
          </w:p>
        </w:tc>
        <w:tc>
          <w:tcPr>
            <w:tcW w:w="144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ascii="宋体" w:hAnsi="宋体" w:cs="Calibri"/>
                <w:sz w:val="21"/>
                <w:szCs w:val="21"/>
              </w:rPr>
              <w:t>1.2</w:t>
            </w:r>
          </w:p>
        </w:tc>
        <w:tc>
          <w:tcPr>
            <w:tcW w:w="2474"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ascii="宋体" w:hAnsi="宋体" w:cs="Calibri"/>
                <w:sz w:val="21"/>
                <w:szCs w:val="21"/>
              </w:rPr>
              <w:t>使用对象</w:t>
            </w:r>
          </w:p>
        </w:tc>
        <w:tc>
          <w:tcPr>
            <w:tcW w:w="4188" w:type="dxa"/>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cs="Calibri"/>
                <w:b/>
                <w:sz w:val="21"/>
                <w:szCs w:val="21"/>
              </w:rPr>
            </w:pPr>
            <w:r>
              <w:rPr>
                <w:rFonts w:ascii="宋体" w:hAnsi="宋体" w:cs="Calibri"/>
                <w:sz w:val="21"/>
                <w:szCs w:val="21"/>
              </w:rPr>
              <w:t>全年龄段患者</w:t>
            </w:r>
          </w:p>
        </w:tc>
        <w:tc>
          <w:tcPr>
            <w:tcW w:w="144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17"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b/>
                <w:sz w:val="21"/>
                <w:szCs w:val="21"/>
              </w:rPr>
            </w:pPr>
            <w:r>
              <w:rPr>
                <w:rFonts w:ascii="宋体" w:hAnsi="宋体" w:cs="Calibri"/>
                <w:b/>
                <w:sz w:val="21"/>
                <w:szCs w:val="21"/>
              </w:rPr>
              <w:t>2</w:t>
            </w:r>
          </w:p>
        </w:tc>
        <w:tc>
          <w:tcPr>
            <w:tcW w:w="2474"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b/>
                <w:sz w:val="21"/>
                <w:szCs w:val="21"/>
              </w:rPr>
            </w:pPr>
            <w:r>
              <w:rPr>
                <w:rFonts w:ascii="宋体" w:hAnsi="宋体" w:cs="Calibri"/>
                <w:b/>
                <w:sz w:val="21"/>
                <w:szCs w:val="21"/>
              </w:rPr>
              <w:t>主要技术参数</w:t>
            </w:r>
          </w:p>
        </w:tc>
        <w:tc>
          <w:tcPr>
            <w:tcW w:w="4188" w:type="dxa"/>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cs="Calibri"/>
                <w:sz w:val="21"/>
                <w:szCs w:val="21"/>
              </w:rPr>
            </w:pPr>
          </w:p>
        </w:tc>
        <w:tc>
          <w:tcPr>
            <w:tcW w:w="144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ascii="宋体" w:hAnsi="宋体" w:cs="Calibri"/>
                <w:sz w:val="21"/>
                <w:szCs w:val="21"/>
              </w:rPr>
              <w:t>2.1</w:t>
            </w:r>
          </w:p>
        </w:tc>
        <w:tc>
          <w:tcPr>
            <w:tcW w:w="2474"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color w:val="000000"/>
                <w:sz w:val="21"/>
                <w:szCs w:val="21"/>
              </w:rPr>
            </w:pPr>
            <w:r>
              <w:rPr>
                <w:rFonts w:hint="eastAsia" w:ascii="宋体" w:hAnsi="宋体" w:cs="宋体"/>
                <w:color w:val="000000"/>
                <w:sz w:val="21"/>
                <w:szCs w:val="21"/>
              </w:rPr>
              <w:t>★</w:t>
            </w:r>
            <w:r>
              <w:rPr>
                <w:rFonts w:ascii="宋体" w:hAnsi="宋体" w:cs="Calibri"/>
                <w:color w:val="000000"/>
                <w:sz w:val="21"/>
                <w:szCs w:val="21"/>
              </w:rPr>
              <w:t>参数1</w:t>
            </w:r>
          </w:p>
        </w:tc>
        <w:tc>
          <w:tcPr>
            <w:tcW w:w="4188" w:type="dxa"/>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cs="Calibri"/>
                <w:color w:val="000000"/>
                <w:sz w:val="21"/>
                <w:szCs w:val="21"/>
              </w:rPr>
            </w:pPr>
            <w:r>
              <w:rPr>
                <w:rFonts w:hint="eastAsia" w:ascii="宋体" w:hAnsi="宋体" w:cs="Calibri"/>
                <w:color w:val="000000"/>
                <w:sz w:val="21"/>
                <w:szCs w:val="21"/>
              </w:rPr>
              <w:t>便携式插件监护仪、整机采用一体化设计，屏幕尺寸≥</w:t>
            </w:r>
            <w:r>
              <w:rPr>
                <w:rFonts w:ascii="宋体" w:hAnsi="宋体" w:cs="Calibri"/>
                <w:color w:val="000000"/>
                <w:sz w:val="21"/>
                <w:szCs w:val="21"/>
              </w:rPr>
              <w:t>12</w:t>
            </w:r>
            <w:r>
              <w:rPr>
                <w:rFonts w:hint="eastAsia" w:ascii="宋体" w:hAnsi="宋体" w:cs="Calibri"/>
                <w:color w:val="000000"/>
                <w:sz w:val="21"/>
                <w:szCs w:val="21"/>
              </w:rPr>
              <w:t>英寸，彩色</w:t>
            </w:r>
            <w:r>
              <w:rPr>
                <w:rFonts w:ascii="宋体" w:hAnsi="宋体" w:cs="Calibri"/>
                <w:color w:val="000000"/>
                <w:sz w:val="21"/>
                <w:szCs w:val="21"/>
              </w:rPr>
              <w:t>触摸屏</w:t>
            </w:r>
            <w:r>
              <w:rPr>
                <w:rFonts w:hint="eastAsia" w:ascii="宋体" w:hAnsi="宋体" w:cs="Calibri"/>
                <w:color w:val="000000"/>
                <w:sz w:val="21"/>
                <w:szCs w:val="21"/>
              </w:rPr>
              <w:t>，可同屏显示≥8通道</w:t>
            </w:r>
          </w:p>
        </w:tc>
        <w:tc>
          <w:tcPr>
            <w:tcW w:w="144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17"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ascii="宋体" w:hAnsi="宋体" w:cs="Calibri"/>
                <w:sz w:val="21"/>
                <w:szCs w:val="21"/>
              </w:rPr>
              <w:t>2.2</w:t>
            </w:r>
          </w:p>
        </w:tc>
        <w:tc>
          <w:tcPr>
            <w:tcW w:w="2474"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color w:val="000000"/>
                <w:sz w:val="21"/>
                <w:szCs w:val="21"/>
              </w:rPr>
            </w:pPr>
            <w:r>
              <w:rPr>
                <w:rFonts w:hint="eastAsia" w:ascii="宋体" w:hAnsi="宋体" w:cs="宋体"/>
                <w:color w:val="000000"/>
                <w:sz w:val="21"/>
                <w:szCs w:val="21"/>
              </w:rPr>
              <w:t>★</w:t>
            </w:r>
            <w:r>
              <w:rPr>
                <w:rFonts w:ascii="宋体" w:hAnsi="宋体" w:cs="Calibri"/>
                <w:color w:val="000000"/>
                <w:sz w:val="21"/>
                <w:szCs w:val="21"/>
              </w:rPr>
              <w:t>参数2</w:t>
            </w:r>
          </w:p>
        </w:tc>
        <w:tc>
          <w:tcPr>
            <w:tcW w:w="4188" w:type="dxa"/>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color w:val="000000"/>
                <w:sz w:val="21"/>
                <w:szCs w:val="21"/>
              </w:rPr>
            </w:pPr>
            <w:r>
              <w:rPr>
                <w:rFonts w:ascii="宋体" w:hAnsi="宋体" w:cs="Calibri"/>
                <w:color w:val="000000"/>
                <w:sz w:val="21"/>
                <w:szCs w:val="21"/>
              </w:rPr>
              <w:t>标配可同时监测心电</w:t>
            </w:r>
            <w:r>
              <w:rPr>
                <w:rFonts w:hint="eastAsia" w:ascii="宋体" w:hAnsi="宋体" w:cs="Calibri"/>
                <w:color w:val="000000"/>
                <w:sz w:val="21"/>
                <w:szCs w:val="21"/>
              </w:rPr>
              <w:t>ECG</w:t>
            </w:r>
            <w:r>
              <w:rPr>
                <w:rFonts w:ascii="宋体" w:hAnsi="宋体" w:cs="Calibri"/>
                <w:color w:val="000000"/>
                <w:sz w:val="21"/>
                <w:szCs w:val="21"/>
              </w:rPr>
              <w:t>、呼吸、血氧饱和度、脉搏、无创血压、</w:t>
            </w:r>
            <w:r>
              <w:rPr>
                <w:rFonts w:hint="eastAsia" w:ascii="宋体" w:hAnsi="宋体" w:cs="Calibri"/>
                <w:color w:val="000000"/>
                <w:sz w:val="21"/>
                <w:szCs w:val="21"/>
              </w:rPr>
              <w:t>三有创血压监测、双温度</w:t>
            </w:r>
          </w:p>
        </w:tc>
        <w:tc>
          <w:tcPr>
            <w:tcW w:w="144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817"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hint="eastAsia" w:ascii="宋体" w:hAnsi="宋体" w:cs="Calibri"/>
                <w:sz w:val="21"/>
                <w:szCs w:val="21"/>
              </w:rPr>
              <w:t>2</w:t>
            </w:r>
            <w:r>
              <w:rPr>
                <w:rFonts w:ascii="宋体" w:hAnsi="宋体" w:cs="Calibri"/>
                <w:sz w:val="21"/>
                <w:szCs w:val="21"/>
              </w:rPr>
              <w:t>.3</w:t>
            </w:r>
          </w:p>
        </w:tc>
        <w:tc>
          <w:tcPr>
            <w:tcW w:w="2474"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cs="宋体"/>
                <w:color w:val="000000"/>
                <w:sz w:val="21"/>
                <w:szCs w:val="21"/>
              </w:rPr>
            </w:pPr>
            <w:r>
              <w:rPr>
                <w:rFonts w:hint="eastAsia" w:ascii="宋体" w:hAnsi="宋体" w:cs="宋体"/>
                <w:color w:val="000000"/>
                <w:sz w:val="21"/>
                <w:szCs w:val="21"/>
              </w:rPr>
              <w:t>★</w:t>
            </w:r>
            <w:r>
              <w:rPr>
                <w:rFonts w:ascii="宋体" w:hAnsi="宋体" w:cs="Calibri"/>
                <w:color w:val="000000"/>
                <w:sz w:val="21"/>
                <w:szCs w:val="21"/>
              </w:rPr>
              <w:t>参数3</w:t>
            </w:r>
          </w:p>
        </w:tc>
        <w:tc>
          <w:tcPr>
            <w:tcW w:w="4188" w:type="dxa"/>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Calibri"/>
                <w:color w:val="000000"/>
                <w:sz w:val="21"/>
                <w:szCs w:val="21"/>
              </w:rPr>
            </w:pPr>
            <w:r>
              <w:rPr>
                <w:rFonts w:hint="eastAsia" w:ascii="宋体" w:hAnsi="宋体" w:cs="Calibri"/>
                <w:color w:val="000000"/>
                <w:sz w:val="21"/>
                <w:szCs w:val="21"/>
              </w:rPr>
              <w:t>支持升级选配热稀释法心排量CO、连续心排量P</w:t>
            </w:r>
            <w:r>
              <w:rPr>
                <w:rFonts w:ascii="宋体" w:hAnsi="宋体" w:cs="Calibri"/>
                <w:color w:val="000000"/>
                <w:sz w:val="21"/>
                <w:szCs w:val="21"/>
              </w:rPr>
              <w:t>ICCO</w:t>
            </w:r>
            <w:r>
              <w:rPr>
                <w:rFonts w:hint="eastAsia" w:ascii="宋体" w:hAnsi="宋体" w:cs="Calibri"/>
                <w:color w:val="000000"/>
                <w:sz w:val="21"/>
                <w:szCs w:val="21"/>
              </w:rPr>
              <w:t>、呼气末二氧化碳等模块，即插即用</w:t>
            </w:r>
          </w:p>
        </w:tc>
        <w:tc>
          <w:tcPr>
            <w:tcW w:w="1440" w:type="dxa"/>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Calibr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817"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ascii="宋体" w:hAnsi="宋体" w:cs="Calibri"/>
                <w:sz w:val="21"/>
                <w:szCs w:val="21"/>
              </w:rPr>
              <w:t>2.4</w:t>
            </w:r>
          </w:p>
        </w:tc>
        <w:tc>
          <w:tcPr>
            <w:tcW w:w="2474"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color w:val="000000"/>
                <w:sz w:val="21"/>
                <w:szCs w:val="21"/>
              </w:rPr>
            </w:pPr>
            <w:r>
              <w:rPr>
                <w:rFonts w:hint="eastAsia" w:ascii="宋体" w:hAnsi="宋体" w:cs="Calibri"/>
                <w:color w:val="000000"/>
                <w:sz w:val="21"/>
                <w:szCs w:val="21"/>
              </w:rPr>
              <w:t>▲</w:t>
            </w:r>
            <w:r>
              <w:rPr>
                <w:rFonts w:ascii="宋体" w:hAnsi="宋体" w:cs="Calibri"/>
                <w:color w:val="000000"/>
                <w:sz w:val="21"/>
                <w:szCs w:val="21"/>
              </w:rPr>
              <w:t>参数4</w:t>
            </w:r>
          </w:p>
        </w:tc>
        <w:tc>
          <w:tcPr>
            <w:tcW w:w="4188" w:type="dxa"/>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cs="Calibri"/>
                <w:color w:val="000000"/>
                <w:sz w:val="21"/>
                <w:szCs w:val="21"/>
              </w:rPr>
            </w:pPr>
            <w:r>
              <w:rPr>
                <w:rFonts w:hint="eastAsia" w:ascii="宋体" w:hAnsi="宋体" w:cs="Calibri"/>
                <w:color w:val="000000"/>
                <w:sz w:val="21"/>
                <w:szCs w:val="21"/>
              </w:rPr>
              <w:t>具有≥72小时趋势图表、≥48小时全息波形结果存储和回顾功能及ST/ST map回顾</w:t>
            </w:r>
          </w:p>
        </w:tc>
        <w:tc>
          <w:tcPr>
            <w:tcW w:w="144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817"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ascii="宋体" w:hAnsi="宋体" w:cs="Calibri"/>
                <w:sz w:val="21"/>
                <w:szCs w:val="21"/>
              </w:rPr>
              <w:t>2.5</w:t>
            </w:r>
          </w:p>
        </w:tc>
        <w:tc>
          <w:tcPr>
            <w:tcW w:w="2474"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color w:val="000000"/>
                <w:sz w:val="21"/>
                <w:szCs w:val="21"/>
              </w:rPr>
            </w:pPr>
            <w:r>
              <w:rPr>
                <w:rFonts w:hint="eastAsia" w:ascii="宋体" w:hAnsi="宋体" w:cs="Calibri"/>
                <w:color w:val="000000"/>
                <w:sz w:val="21"/>
                <w:szCs w:val="21"/>
              </w:rPr>
              <w:t>▲</w:t>
            </w:r>
            <w:r>
              <w:rPr>
                <w:rFonts w:ascii="宋体" w:hAnsi="宋体" w:cs="Calibri"/>
                <w:color w:val="000000"/>
                <w:sz w:val="21"/>
                <w:szCs w:val="21"/>
              </w:rPr>
              <w:t>参数5</w:t>
            </w:r>
          </w:p>
        </w:tc>
        <w:tc>
          <w:tcPr>
            <w:tcW w:w="4188" w:type="dxa"/>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cs="Calibri"/>
                <w:color w:val="000000"/>
                <w:sz w:val="21"/>
                <w:szCs w:val="21"/>
              </w:rPr>
            </w:pPr>
            <w:r>
              <w:rPr>
                <w:rFonts w:hint="eastAsia" w:ascii="宋体" w:hAnsi="宋体" w:cs="Calibri"/>
                <w:color w:val="000000"/>
                <w:sz w:val="21"/>
                <w:szCs w:val="21"/>
              </w:rPr>
              <w:t>主机带电池，可满足临时断电，监护室维持正常使用时间≥3小时。</w:t>
            </w:r>
          </w:p>
        </w:tc>
        <w:tc>
          <w:tcPr>
            <w:tcW w:w="1440" w:type="dxa"/>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Calibr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817"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hint="eastAsia" w:ascii="宋体" w:hAnsi="宋体" w:cs="Calibri"/>
                <w:sz w:val="21"/>
                <w:szCs w:val="21"/>
              </w:rPr>
              <w:t>2.6</w:t>
            </w:r>
          </w:p>
        </w:tc>
        <w:tc>
          <w:tcPr>
            <w:tcW w:w="2474"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color w:val="000000"/>
                <w:sz w:val="21"/>
                <w:szCs w:val="21"/>
              </w:rPr>
            </w:pPr>
            <w:r>
              <w:rPr>
                <w:rFonts w:hint="eastAsia" w:ascii="宋体" w:hAnsi="宋体" w:cs="Calibri"/>
                <w:color w:val="000000"/>
                <w:sz w:val="21"/>
                <w:szCs w:val="21"/>
              </w:rPr>
              <w:t>▲参数6</w:t>
            </w:r>
          </w:p>
        </w:tc>
        <w:tc>
          <w:tcPr>
            <w:tcW w:w="4188" w:type="dxa"/>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cs="Calibri"/>
                <w:color w:val="000000"/>
                <w:sz w:val="21"/>
                <w:szCs w:val="21"/>
              </w:rPr>
            </w:pPr>
            <w:r>
              <w:rPr>
                <w:rFonts w:hint="eastAsia" w:ascii="宋体" w:hAnsi="宋体" w:cs="Calibri"/>
                <w:color w:val="000000"/>
                <w:sz w:val="21"/>
                <w:szCs w:val="21"/>
              </w:rPr>
              <w:t>支持升级床旁设备数据整合，实现现有中央站同步监护床旁监护数据</w:t>
            </w:r>
          </w:p>
        </w:tc>
        <w:tc>
          <w:tcPr>
            <w:tcW w:w="1440" w:type="dxa"/>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Calibr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817"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ascii="宋体" w:hAnsi="宋体" w:cs="Calibri"/>
                <w:sz w:val="21"/>
                <w:szCs w:val="21"/>
              </w:rPr>
              <w:t>2.</w:t>
            </w:r>
            <w:r>
              <w:rPr>
                <w:rFonts w:hint="eastAsia" w:ascii="宋体" w:hAnsi="宋体" w:cs="Calibri"/>
                <w:sz w:val="21"/>
                <w:szCs w:val="21"/>
              </w:rPr>
              <w:t>7</w:t>
            </w:r>
          </w:p>
        </w:tc>
        <w:tc>
          <w:tcPr>
            <w:tcW w:w="2474"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color w:val="000000"/>
                <w:sz w:val="21"/>
                <w:szCs w:val="21"/>
              </w:rPr>
            </w:pPr>
            <w:r>
              <w:rPr>
                <w:rFonts w:hint="eastAsia" w:ascii="宋体" w:hAnsi="宋体" w:cs="Calibri"/>
                <w:color w:val="000000"/>
                <w:sz w:val="21"/>
                <w:szCs w:val="21"/>
              </w:rPr>
              <w:t xml:space="preserve"> ▲</w:t>
            </w:r>
            <w:r>
              <w:rPr>
                <w:rFonts w:ascii="宋体" w:hAnsi="宋体" w:cs="Calibri"/>
                <w:color w:val="000000"/>
                <w:sz w:val="21"/>
                <w:szCs w:val="21"/>
              </w:rPr>
              <w:t>参数</w:t>
            </w:r>
            <w:r>
              <w:rPr>
                <w:rFonts w:hint="eastAsia" w:ascii="宋体" w:hAnsi="宋体" w:cs="Calibri"/>
                <w:color w:val="000000"/>
                <w:sz w:val="21"/>
                <w:szCs w:val="21"/>
              </w:rPr>
              <w:t>7</w:t>
            </w:r>
          </w:p>
        </w:tc>
        <w:tc>
          <w:tcPr>
            <w:tcW w:w="4188" w:type="dxa"/>
            <w:noWrap w:val="0"/>
            <w:vAlign w:val="center"/>
          </w:tcPr>
          <w:p>
            <w:pPr>
              <w:keepNext w:val="0"/>
              <w:keepLines w:val="0"/>
              <w:pageBreakBefore w:val="0"/>
              <w:tabs>
                <w:tab w:val="left" w:pos="469"/>
              </w:tabs>
              <w:kinsoku/>
              <w:wordWrap/>
              <w:overflowPunct/>
              <w:topLinePunct w:val="0"/>
              <w:autoSpaceDE/>
              <w:autoSpaceDN/>
              <w:bidi w:val="0"/>
              <w:adjustRightInd/>
              <w:snapToGrid/>
              <w:spacing w:line="360" w:lineRule="exact"/>
              <w:jc w:val="left"/>
              <w:textAlignment w:val="auto"/>
              <w:rPr>
                <w:rFonts w:ascii="宋体" w:hAnsi="宋体" w:cs="Calibri"/>
                <w:color w:val="000000"/>
                <w:sz w:val="21"/>
                <w:szCs w:val="21"/>
              </w:rPr>
            </w:pPr>
            <w:r>
              <w:rPr>
                <w:rFonts w:hint="eastAsia" w:ascii="宋体" w:hAnsi="宋体" w:cs="Calibri"/>
                <w:color w:val="000000"/>
                <w:sz w:val="21"/>
                <w:szCs w:val="21"/>
              </w:rPr>
              <w:t>心率测量范围适用于小儿、成人、测量误差≤±1bpm或±1%</w:t>
            </w:r>
          </w:p>
        </w:tc>
        <w:tc>
          <w:tcPr>
            <w:tcW w:w="144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817"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ascii="宋体" w:hAnsi="宋体" w:cs="Calibri"/>
                <w:sz w:val="21"/>
                <w:szCs w:val="21"/>
              </w:rPr>
              <w:t>2.</w:t>
            </w:r>
            <w:r>
              <w:rPr>
                <w:rFonts w:hint="eastAsia" w:ascii="宋体" w:hAnsi="宋体" w:cs="Calibri"/>
                <w:sz w:val="21"/>
                <w:szCs w:val="21"/>
              </w:rPr>
              <w:t>8</w:t>
            </w:r>
          </w:p>
        </w:tc>
        <w:tc>
          <w:tcPr>
            <w:tcW w:w="2474"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color w:val="000000"/>
                <w:sz w:val="21"/>
                <w:szCs w:val="21"/>
              </w:rPr>
            </w:pPr>
            <w:r>
              <w:rPr>
                <w:rFonts w:ascii="宋体" w:hAnsi="宋体" w:cs="Calibri"/>
                <w:color w:val="000000"/>
                <w:sz w:val="21"/>
                <w:szCs w:val="21"/>
              </w:rPr>
              <w:t>参数</w:t>
            </w:r>
            <w:r>
              <w:rPr>
                <w:rFonts w:hint="eastAsia" w:ascii="宋体" w:hAnsi="宋体" w:cs="Calibri"/>
                <w:color w:val="000000"/>
                <w:sz w:val="21"/>
                <w:szCs w:val="21"/>
              </w:rPr>
              <w:t>8</w:t>
            </w:r>
          </w:p>
        </w:tc>
        <w:tc>
          <w:tcPr>
            <w:tcW w:w="4188" w:type="dxa"/>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cs="Calibri"/>
                <w:color w:val="000000"/>
                <w:sz w:val="21"/>
                <w:szCs w:val="21"/>
              </w:rPr>
            </w:pPr>
            <w:r>
              <w:rPr>
                <w:rFonts w:ascii="宋体" w:hAnsi="宋体" w:cs="Calibri"/>
                <w:color w:val="000000"/>
                <w:sz w:val="21"/>
                <w:szCs w:val="21"/>
              </w:rPr>
              <w:t>无创血压</w:t>
            </w:r>
            <w:r>
              <w:rPr>
                <w:rFonts w:hint="eastAsia" w:ascii="宋体" w:hAnsi="宋体" w:cs="Calibri"/>
                <w:color w:val="000000"/>
                <w:sz w:val="21"/>
                <w:szCs w:val="21"/>
              </w:rPr>
              <w:t>具有手动、自动、连续、序列测量模式，适合成人、幼儿及新生儿、最大平均误差≤±8mmHg</w:t>
            </w:r>
          </w:p>
        </w:tc>
        <w:tc>
          <w:tcPr>
            <w:tcW w:w="144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817"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ascii="宋体" w:hAnsi="宋体" w:cs="Calibri"/>
                <w:sz w:val="21"/>
                <w:szCs w:val="21"/>
              </w:rPr>
              <w:t>2.</w:t>
            </w:r>
            <w:r>
              <w:rPr>
                <w:rFonts w:hint="eastAsia" w:ascii="宋体" w:hAnsi="宋体" w:cs="Calibri"/>
                <w:sz w:val="21"/>
                <w:szCs w:val="21"/>
              </w:rPr>
              <w:t>9</w:t>
            </w:r>
          </w:p>
        </w:tc>
        <w:tc>
          <w:tcPr>
            <w:tcW w:w="2474"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ascii="宋体" w:hAnsi="宋体" w:cs="Calibri"/>
                <w:sz w:val="21"/>
                <w:szCs w:val="21"/>
              </w:rPr>
              <w:t>参数</w:t>
            </w:r>
            <w:r>
              <w:rPr>
                <w:rFonts w:hint="eastAsia" w:ascii="宋体" w:hAnsi="宋体" w:cs="Calibri"/>
                <w:sz w:val="21"/>
                <w:szCs w:val="21"/>
              </w:rPr>
              <w:t>9</w:t>
            </w:r>
          </w:p>
        </w:tc>
        <w:tc>
          <w:tcPr>
            <w:tcW w:w="418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微软雅黑"/>
                <w:bCs/>
                <w:color w:val="000000"/>
                <w:sz w:val="21"/>
                <w:szCs w:val="21"/>
              </w:rPr>
            </w:pPr>
            <w:r>
              <w:rPr>
                <w:rFonts w:hint="eastAsia" w:ascii="宋体" w:hAnsi="宋体" w:cs="微软雅黑"/>
                <w:bCs/>
                <w:color w:val="000000"/>
                <w:sz w:val="21"/>
                <w:szCs w:val="21"/>
              </w:rPr>
              <w:t>具有统计分析功能，可通过箭头、柱状图等，直观反映参数变化趋势</w:t>
            </w:r>
          </w:p>
        </w:tc>
        <w:tc>
          <w:tcPr>
            <w:tcW w:w="144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17"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ascii="宋体" w:hAnsi="宋体" w:cs="Calibri"/>
                <w:sz w:val="21"/>
                <w:szCs w:val="21"/>
              </w:rPr>
              <w:t>2.</w:t>
            </w:r>
            <w:r>
              <w:rPr>
                <w:rFonts w:hint="eastAsia" w:ascii="宋体" w:hAnsi="宋体" w:cs="Calibri"/>
                <w:sz w:val="21"/>
                <w:szCs w:val="21"/>
              </w:rPr>
              <w:t>10</w:t>
            </w:r>
          </w:p>
        </w:tc>
        <w:tc>
          <w:tcPr>
            <w:tcW w:w="2474"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ascii="宋体" w:hAnsi="宋体" w:cs="Calibri"/>
                <w:sz w:val="21"/>
                <w:szCs w:val="21"/>
              </w:rPr>
              <w:t>参数</w:t>
            </w:r>
            <w:r>
              <w:rPr>
                <w:rFonts w:hint="eastAsia" w:ascii="宋体" w:hAnsi="宋体" w:cs="Calibri"/>
                <w:sz w:val="21"/>
                <w:szCs w:val="21"/>
              </w:rPr>
              <w:t>10</w:t>
            </w:r>
          </w:p>
        </w:tc>
        <w:tc>
          <w:tcPr>
            <w:tcW w:w="4188" w:type="dxa"/>
            <w:noWrap w:val="0"/>
            <w:vAlign w:val="center"/>
          </w:tcPr>
          <w:p>
            <w:pPr>
              <w:keepNext w:val="0"/>
              <w:keepLines w:val="0"/>
              <w:pageBreakBefore w:val="0"/>
              <w:tabs>
                <w:tab w:val="left" w:pos="469"/>
              </w:tabs>
              <w:kinsoku/>
              <w:wordWrap/>
              <w:overflowPunct/>
              <w:topLinePunct w:val="0"/>
              <w:autoSpaceDE/>
              <w:autoSpaceDN/>
              <w:bidi w:val="0"/>
              <w:adjustRightInd/>
              <w:snapToGrid/>
              <w:spacing w:line="360" w:lineRule="exact"/>
              <w:jc w:val="left"/>
              <w:textAlignment w:val="auto"/>
              <w:rPr>
                <w:rFonts w:ascii="宋体" w:hAnsi="宋体" w:cs="Calibri"/>
                <w:sz w:val="21"/>
                <w:szCs w:val="21"/>
              </w:rPr>
            </w:pPr>
            <w:r>
              <w:rPr>
                <w:rFonts w:hint="eastAsia" w:ascii="宋体" w:hAnsi="宋体" w:cs="Calibri"/>
                <w:sz w:val="21"/>
                <w:szCs w:val="21"/>
              </w:rPr>
              <w:t>可选带显示功能的基本参数测量模块，可实现双频双控双向显示波形和数值。用于病人转运，带电池功能，待机时间≥3小时，同监护仪主机即插即用</w:t>
            </w:r>
          </w:p>
        </w:tc>
        <w:tc>
          <w:tcPr>
            <w:tcW w:w="144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b/>
                <w:sz w:val="21"/>
                <w:szCs w:val="21"/>
              </w:rPr>
            </w:pPr>
            <w:r>
              <w:rPr>
                <w:rFonts w:ascii="宋体" w:hAnsi="宋体" w:cs="Calibri"/>
                <w:b/>
                <w:sz w:val="21"/>
                <w:szCs w:val="21"/>
              </w:rPr>
              <w:t>3</w:t>
            </w:r>
          </w:p>
        </w:tc>
        <w:tc>
          <w:tcPr>
            <w:tcW w:w="2474"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b/>
                <w:sz w:val="21"/>
                <w:szCs w:val="21"/>
              </w:rPr>
            </w:pPr>
            <w:r>
              <w:rPr>
                <w:rFonts w:ascii="宋体" w:hAnsi="宋体" w:cs="Calibri"/>
                <w:b/>
                <w:sz w:val="21"/>
                <w:szCs w:val="21"/>
              </w:rPr>
              <w:t>配置需求</w:t>
            </w:r>
          </w:p>
        </w:tc>
        <w:tc>
          <w:tcPr>
            <w:tcW w:w="4188" w:type="dxa"/>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cs="Calibri"/>
                <w:sz w:val="21"/>
                <w:szCs w:val="21"/>
              </w:rPr>
            </w:pPr>
          </w:p>
        </w:tc>
        <w:tc>
          <w:tcPr>
            <w:tcW w:w="144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ascii="宋体" w:hAnsi="宋体" w:cs="Calibri"/>
                <w:sz w:val="21"/>
                <w:szCs w:val="21"/>
              </w:rPr>
              <w:t>3.1</w:t>
            </w:r>
          </w:p>
        </w:tc>
        <w:tc>
          <w:tcPr>
            <w:tcW w:w="2474"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ascii="宋体" w:hAnsi="宋体" w:cs="Calibri"/>
                <w:sz w:val="21"/>
                <w:szCs w:val="21"/>
              </w:rPr>
              <w:t>配置1</w:t>
            </w:r>
          </w:p>
        </w:tc>
        <w:tc>
          <w:tcPr>
            <w:tcW w:w="4188" w:type="dxa"/>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cs="Calibri"/>
                <w:sz w:val="21"/>
                <w:szCs w:val="21"/>
              </w:rPr>
            </w:pPr>
            <w:r>
              <w:rPr>
                <w:rFonts w:ascii="宋体" w:hAnsi="宋体" w:cs="Calibri"/>
                <w:sz w:val="21"/>
                <w:szCs w:val="21"/>
              </w:rPr>
              <w:t>监护仪主机</w:t>
            </w:r>
          </w:p>
        </w:tc>
        <w:tc>
          <w:tcPr>
            <w:tcW w:w="144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ascii="宋体" w:hAnsi="宋体" w:cs="Calibri"/>
                <w:sz w:val="21"/>
                <w:szCs w:val="21"/>
              </w:rPr>
              <w:t>3.2</w:t>
            </w:r>
          </w:p>
        </w:tc>
        <w:tc>
          <w:tcPr>
            <w:tcW w:w="2474"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ascii="宋体" w:hAnsi="宋体" w:cs="Calibri"/>
                <w:sz w:val="21"/>
                <w:szCs w:val="21"/>
              </w:rPr>
              <w:t>配置2</w:t>
            </w:r>
          </w:p>
        </w:tc>
        <w:tc>
          <w:tcPr>
            <w:tcW w:w="4188" w:type="dxa"/>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cs="Calibri"/>
                <w:sz w:val="21"/>
                <w:szCs w:val="21"/>
              </w:rPr>
            </w:pPr>
            <w:r>
              <w:rPr>
                <w:rFonts w:hint="eastAsia" w:ascii="宋体" w:hAnsi="宋体" w:cs="Calibri"/>
                <w:sz w:val="21"/>
                <w:szCs w:val="21"/>
              </w:rPr>
              <w:t>心电、血氧、无创血压、有创动脉血压监测附件</w:t>
            </w:r>
          </w:p>
        </w:tc>
        <w:tc>
          <w:tcPr>
            <w:tcW w:w="144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b/>
                <w:sz w:val="21"/>
                <w:szCs w:val="21"/>
              </w:rPr>
            </w:pPr>
            <w:r>
              <w:rPr>
                <w:rFonts w:hint="eastAsia" w:ascii="宋体" w:hAnsi="宋体" w:cs="Calibri"/>
                <w:b/>
                <w:sz w:val="21"/>
                <w:szCs w:val="21"/>
              </w:rPr>
              <w:t>3.3</w:t>
            </w:r>
          </w:p>
        </w:tc>
        <w:tc>
          <w:tcPr>
            <w:tcW w:w="2474"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b/>
                <w:sz w:val="21"/>
                <w:szCs w:val="21"/>
              </w:rPr>
            </w:pPr>
            <w:r>
              <w:rPr>
                <w:rFonts w:ascii="宋体" w:hAnsi="宋体" w:cs="Calibri"/>
                <w:sz w:val="21"/>
                <w:szCs w:val="21"/>
              </w:rPr>
              <w:t>配置</w:t>
            </w:r>
            <w:r>
              <w:rPr>
                <w:rFonts w:hint="eastAsia" w:ascii="宋体" w:hAnsi="宋体" w:cs="Calibri"/>
                <w:sz w:val="21"/>
                <w:szCs w:val="21"/>
              </w:rPr>
              <w:t>3</w:t>
            </w:r>
          </w:p>
        </w:tc>
        <w:tc>
          <w:tcPr>
            <w:tcW w:w="4188" w:type="dxa"/>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cs="Calibri"/>
                <w:sz w:val="21"/>
                <w:szCs w:val="21"/>
              </w:rPr>
            </w:pPr>
            <w:r>
              <w:rPr>
                <w:rFonts w:hint="eastAsia" w:ascii="宋体" w:hAnsi="宋体" w:cs="Calibri"/>
                <w:sz w:val="21"/>
                <w:szCs w:val="21"/>
              </w:rPr>
              <w:t>锂电池</w:t>
            </w:r>
          </w:p>
        </w:tc>
        <w:tc>
          <w:tcPr>
            <w:tcW w:w="144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b/>
                <w:sz w:val="21"/>
                <w:szCs w:val="21"/>
              </w:rPr>
            </w:pPr>
            <w:r>
              <w:rPr>
                <w:rFonts w:hint="eastAsia" w:ascii="宋体" w:hAnsi="宋体" w:cs="Calibri"/>
                <w:b/>
                <w:sz w:val="21"/>
                <w:szCs w:val="21"/>
              </w:rPr>
              <w:t>3.4</w:t>
            </w:r>
          </w:p>
        </w:tc>
        <w:tc>
          <w:tcPr>
            <w:tcW w:w="2474"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b/>
                <w:sz w:val="21"/>
                <w:szCs w:val="21"/>
              </w:rPr>
            </w:pPr>
            <w:r>
              <w:rPr>
                <w:rFonts w:ascii="宋体" w:hAnsi="宋体" w:cs="Calibri"/>
                <w:sz w:val="21"/>
                <w:szCs w:val="21"/>
              </w:rPr>
              <w:t>配置</w:t>
            </w:r>
            <w:r>
              <w:rPr>
                <w:rFonts w:hint="eastAsia" w:ascii="宋体" w:hAnsi="宋体" w:cs="Calibri"/>
                <w:sz w:val="21"/>
                <w:szCs w:val="21"/>
              </w:rPr>
              <w:t>4</w:t>
            </w:r>
          </w:p>
        </w:tc>
        <w:tc>
          <w:tcPr>
            <w:tcW w:w="4188" w:type="dxa"/>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cs="Calibri"/>
                <w:sz w:val="21"/>
                <w:szCs w:val="21"/>
              </w:rPr>
            </w:pPr>
            <w:r>
              <w:rPr>
                <w:rFonts w:hint="eastAsia" w:ascii="宋体" w:hAnsi="宋体" w:cs="Calibri"/>
                <w:sz w:val="21"/>
                <w:szCs w:val="21"/>
              </w:rPr>
              <w:t>监护仪悬挂支架</w:t>
            </w:r>
          </w:p>
        </w:tc>
        <w:tc>
          <w:tcPr>
            <w:tcW w:w="144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b/>
                <w:sz w:val="21"/>
                <w:szCs w:val="21"/>
              </w:rPr>
            </w:pPr>
            <w:r>
              <w:rPr>
                <w:rFonts w:ascii="宋体" w:hAnsi="宋体" w:cs="Calibri"/>
                <w:b/>
                <w:sz w:val="21"/>
                <w:szCs w:val="21"/>
              </w:rPr>
              <w:t>4</w:t>
            </w:r>
          </w:p>
        </w:tc>
        <w:tc>
          <w:tcPr>
            <w:tcW w:w="2474"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b/>
                <w:sz w:val="21"/>
                <w:szCs w:val="21"/>
              </w:rPr>
            </w:pPr>
            <w:r>
              <w:rPr>
                <w:rFonts w:ascii="宋体" w:hAnsi="宋体" w:cs="Calibri"/>
                <w:b/>
                <w:sz w:val="21"/>
                <w:szCs w:val="21"/>
              </w:rPr>
              <w:t>售后服务</w:t>
            </w:r>
          </w:p>
        </w:tc>
        <w:tc>
          <w:tcPr>
            <w:tcW w:w="4188" w:type="dxa"/>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cs="Calibri"/>
                <w:sz w:val="21"/>
                <w:szCs w:val="21"/>
              </w:rPr>
            </w:pPr>
          </w:p>
        </w:tc>
        <w:tc>
          <w:tcPr>
            <w:tcW w:w="144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ascii="宋体" w:hAnsi="宋体" w:cs="Calibri"/>
                <w:sz w:val="21"/>
                <w:szCs w:val="21"/>
              </w:rPr>
              <w:t>4.1</w:t>
            </w:r>
          </w:p>
        </w:tc>
        <w:tc>
          <w:tcPr>
            <w:tcW w:w="2474"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ascii="宋体" w:hAnsi="宋体" w:cs="Calibri"/>
                <w:sz w:val="21"/>
                <w:szCs w:val="21"/>
              </w:rPr>
              <w:t>保修年限</w:t>
            </w:r>
          </w:p>
        </w:tc>
        <w:tc>
          <w:tcPr>
            <w:tcW w:w="4188" w:type="dxa"/>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cs="Calibri"/>
                <w:sz w:val="21"/>
                <w:szCs w:val="21"/>
              </w:rPr>
            </w:pPr>
            <w:r>
              <w:rPr>
                <w:rFonts w:ascii="宋体" w:hAnsi="宋体" w:cs="Calibri"/>
                <w:sz w:val="21"/>
                <w:szCs w:val="21"/>
              </w:rPr>
              <w:t>≥3年</w:t>
            </w:r>
          </w:p>
        </w:tc>
        <w:tc>
          <w:tcPr>
            <w:tcW w:w="144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ascii="宋体" w:hAnsi="宋体" w:cs="Calibri"/>
                <w:sz w:val="21"/>
                <w:szCs w:val="21"/>
              </w:rPr>
              <w:t>4.2</w:t>
            </w:r>
          </w:p>
        </w:tc>
        <w:tc>
          <w:tcPr>
            <w:tcW w:w="2474"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ascii="宋体" w:hAnsi="宋体" w:cs="Calibri"/>
                <w:sz w:val="21"/>
                <w:szCs w:val="21"/>
              </w:rPr>
              <w:t>出现故障回应时间</w:t>
            </w:r>
          </w:p>
        </w:tc>
        <w:tc>
          <w:tcPr>
            <w:tcW w:w="4188" w:type="dxa"/>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cs="Calibri"/>
                <w:sz w:val="21"/>
                <w:szCs w:val="21"/>
              </w:rPr>
            </w:pPr>
            <w:r>
              <w:rPr>
                <w:rFonts w:ascii="宋体" w:hAnsi="宋体" w:cs="Calibri"/>
                <w:sz w:val="21"/>
                <w:szCs w:val="21"/>
              </w:rPr>
              <w:t>维修到达现场时间≤6小时（本地），维修到达现场时间≤24小时（外地）</w:t>
            </w:r>
          </w:p>
        </w:tc>
        <w:tc>
          <w:tcPr>
            <w:tcW w:w="144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ascii="宋体" w:hAnsi="宋体" w:cs="Calibri"/>
                <w:sz w:val="21"/>
                <w:szCs w:val="21"/>
              </w:rPr>
              <w:t>4.3</w:t>
            </w:r>
          </w:p>
        </w:tc>
        <w:tc>
          <w:tcPr>
            <w:tcW w:w="2474"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ascii="宋体" w:hAnsi="宋体" w:cs="Calibri"/>
                <w:sz w:val="21"/>
                <w:szCs w:val="21"/>
              </w:rPr>
              <w:t>维修支持</w:t>
            </w:r>
          </w:p>
        </w:tc>
        <w:tc>
          <w:tcPr>
            <w:tcW w:w="4188" w:type="dxa"/>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cs="Calibri"/>
                <w:sz w:val="21"/>
                <w:szCs w:val="21"/>
              </w:rPr>
            </w:pPr>
            <w:r>
              <w:rPr>
                <w:rFonts w:ascii="宋体" w:hAnsi="宋体" w:cs="Calibri"/>
                <w:sz w:val="21"/>
                <w:szCs w:val="21"/>
              </w:rPr>
              <w:t>配件供应时间≥10年</w:t>
            </w:r>
          </w:p>
        </w:tc>
        <w:tc>
          <w:tcPr>
            <w:tcW w:w="144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ascii="宋体" w:hAnsi="宋体" w:cs="Calibri"/>
                <w:sz w:val="21"/>
                <w:szCs w:val="21"/>
              </w:rPr>
              <w:t>4.4</w:t>
            </w:r>
          </w:p>
        </w:tc>
        <w:tc>
          <w:tcPr>
            <w:tcW w:w="2474"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ascii="宋体" w:hAnsi="宋体" w:cs="Calibri"/>
                <w:sz w:val="21"/>
                <w:szCs w:val="21"/>
              </w:rPr>
              <w:t>耗材及零配件</w:t>
            </w:r>
          </w:p>
        </w:tc>
        <w:tc>
          <w:tcPr>
            <w:tcW w:w="4188" w:type="dxa"/>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cs="Calibri"/>
                <w:sz w:val="21"/>
                <w:szCs w:val="21"/>
              </w:rPr>
            </w:pPr>
            <w:r>
              <w:rPr>
                <w:rFonts w:ascii="宋体" w:hAnsi="宋体" w:cs="Calibri"/>
                <w:sz w:val="21"/>
                <w:szCs w:val="21"/>
              </w:rPr>
              <w:t>提供耗材及主要零配件目录（含报价）</w:t>
            </w:r>
          </w:p>
        </w:tc>
        <w:tc>
          <w:tcPr>
            <w:tcW w:w="144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ascii="宋体" w:hAnsi="宋体" w:cs="Calibri"/>
                <w:sz w:val="21"/>
                <w:szCs w:val="21"/>
              </w:rPr>
              <w:t>4.5</w:t>
            </w:r>
          </w:p>
        </w:tc>
        <w:tc>
          <w:tcPr>
            <w:tcW w:w="2474"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ascii="宋体" w:hAnsi="宋体" w:cs="Calibri"/>
                <w:sz w:val="21"/>
                <w:szCs w:val="21"/>
              </w:rPr>
              <w:t>维修资料</w:t>
            </w:r>
          </w:p>
        </w:tc>
        <w:tc>
          <w:tcPr>
            <w:tcW w:w="4188" w:type="dxa"/>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cs="Calibri"/>
                <w:sz w:val="21"/>
                <w:szCs w:val="21"/>
              </w:rPr>
            </w:pPr>
            <w:r>
              <w:rPr>
                <w:rFonts w:ascii="宋体" w:hAnsi="宋体" w:cs="Calibri"/>
                <w:sz w:val="21"/>
                <w:szCs w:val="21"/>
              </w:rPr>
              <w:t>提供详细操作手册、维修保养手册、安装手册等</w:t>
            </w:r>
          </w:p>
        </w:tc>
        <w:tc>
          <w:tcPr>
            <w:tcW w:w="144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ascii="宋体" w:hAnsi="宋体" w:cs="Calibri"/>
                <w:sz w:val="21"/>
                <w:szCs w:val="21"/>
              </w:rPr>
              <w:t>4.6</w:t>
            </w:r>
          </w:p>
        </w:tc>
        <w:tc>
          <w:tcPr>
            <w:tcW w:w="2474"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ascii="宋体" w:hAnsi="宋体" w:cs="Calibri"/>
                <w:sz w:val="21"/>
                <w:szCs w:val="21"/>
              </w:rPr>
              <w:t>维修工具</w:t>
            </w:r>
          </w:p>
        </w:tc>
        <w:tc>
          <w:tcPr>
            <w:tcW w:w="4188" w:type="dxa"/>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cs="Calibri"/>
                <w:sz w:val="21"/>
                <w:szCs w:val="21"/>
              </w:rPr>
            </w:pPr>
            <w:r>
              <w:rPr>
                <w:rFonts w:ascii="宋体" w:hAnsi="宋体" w:cs="Calibri"/>
                <w:sz w:val="21"/>
                <w:szCs w:val="21"/>
              </w:rPr>
              <w:t>提供维修专用工具清单</w:t>
            </w:r>
          </w:p>
        </w:tc>
        <w:tc>
          <w:tcPr>
            <w:tcW w:w="144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ascii="宋体" w:hAnsi="宋体" w:cs="Calibri"/>
                <w:sz w:val="21"/>
                <w:szCs w:val="21"/>
              </w:rPr>
              <w:t>4.7</w:t>
            </w:r>
          </w:p>
        </w:tc>
        <w:tc>
          <w:tcPr>
            <w:tcW w:w="2474"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ascii="宋体" w:hAnsi="宋体" w:cs="Calibri"/>
                <w:sz w:val="21"/>
                <w:szCs w:val="21"/>
              </w:rPr>
              <w:t>预防性维修/定期维护</w:t>
            </w:r>
          </w:p>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ascii="宋体" w:hAnsi="宋体" w:cs="Calibri"/>
                <w:sz w:val="21"/>
                <w:szCs w:val="21"/>
              </w:rPr>
              <w:t>保养</w:t>
            </w:r>
          </w:p>
        </w:tc>
        <w:tc>
          <w:tcPr>
            <w:tcW w:w="4188" w:type="dxa"/>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cs="Calibri"/>
                <w:sz w:val="21"/>
                <w:szCs w:val="21"/>
              </w:rPr>
            </w:pPr>
            <w:r>
              <w:rPr>
                <w:rFonts w:ascii="宋体" w:hAnsi="宋体" w:cs="Calibri"/>
                <w:sz w:val="21"/>
                <w:szCs w:val="21"/>
              </w:rPr>
              <w:t>保修期内提供定期维护保养服务</w:t>
            </w:r>
          </w:p>
        </w:tc>
        <w:tc>
          <w:tcPr>
            <w:tcW w:w="144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ascii="宋体" w:hAnsi="宋体" w:cs="Calibri"/>
                <w:sz w:val="21"/>
                <w:szCs w:val="21"/>
              </w:rPr>
              <w:t>4.8</w:t>
            </w:r>
          </w:p>
        </w:tc>
        <w:tc>
          <w:tcPr>
            <w:tcW w:w="2474"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ascii="宋体" w:hAnsi="宋体" w:cs="Calibri"/>
                <w:sz w:val="21"/>
                <w:szCs w:val="21"/>
              </w:rPr>
              <w:t>维修密码支持</w:t>
            </w:r>
          </w:p>
        </w:tc>
        <w:tc>
          <w:tcPr>
            <w:tcW w:w="4188" w:type="dxa"/>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cs="Calibri"/>
                <w:sz w:val="21"/>
                <w:szCs w:val="21"/>
              </w:rPr>
            </w:pPr>
            <w:r>
              <w:rPr>
                <w:rFonts w:ascii="宋体" w:hAnsi="宋体" w:cs="Calibri"/>
                <w:sz w:val="21"/>
                <w:szCs w:val="21"/>
              </w:rPr>
              <w:t>开放</w:t>
            </w:r>
          </w:p>
        </w:tc>
        <w:tc>
          <w:tcPr>
            <w:tcW w:w="144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ascii="宋体" w:hAnsi="宋体" w:cs="Calibri"/>
                <w:sz w:val="21"/>
                <w:szCs w:val="21"/>
              </w:rPr>
              <w:t>4.9</w:t>
            </w:r>
          </w:p>
        </w:tc>
        <w:tc>
          <w:tcPr>
            <w:tcW w:w="2474"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ascii="宋体" w:hAnsi="宋体" w:cs="Calibri"/>
                <w:sz w:val="21"/>
                <w:szCs w:val="21"/>
              </w:rPr>
              <w:t>升级</w:t>
            </w:r>
          </w:p>
        </w:tc>
        <w:tc>
          <w:tcPr>
            <w:tcW w:w="4188" w:type="dxa"/>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cs="Calibri"/>
                <w:sz w:val="21"/>
                <w:szCs w:val="21"/>
              </w:rPr>
            </w:pPr>
            <w:r>
              <w:rPr>
                <w:rFonts w:ascii="宋体" w:hAnsi="宋体" w:cs="Calibri"/>
                <w:sz w:val="21"/>
                <w:szCs w:val="21"/>
              </w:rPr>
              <w:t>终身免费软件升级</w:t>
            </w:r>
          </w:p>
        </w:tc>
        <w:tc>
          <w:tcPr>
            <w:tcW w:w="144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ascii="宋体" w:hAnsi="宋体" w:cs="Calibri"/>
                <w:sz w:val="21"/>
                <w:szCs w:val="21"/>
              </w:rPr>
              <w:t>4.10</w:t>
            </w:r>
          </w:p>
        </w:tc>
        <w:tc>
          <w:tcPr>
            <w:tcW w:w="2474"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ascii="宋体" w:hAnsi="宋体" w:cs="Calibri"/>
                <w:sz w:val="21"/>
                <w:szCs w:val="21"/>
              </w:rPr>
              <w:t>使用培训</w:t>
            </w:r>
          </w:p>
        </w:tc>
        <w:tc>
          <w:tcPr>
            <w:tcW w:w="4188" w:type="dxa"/>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cs="Calibri"/>
                <w:sz w:val="21"/>
                <w:szCs w:val="21"/>
              </w:rPr>
            </w:pPr>
            <w:r>
              <w:rPr>
                <w:rFonts w:ascii="宋体" w:hAnsi="宋体" w:cs="Calibri"/>
                <w:sz w:val="21"/>
                <w:szCs w:val="21"/>
              </w:rPr>
              <w:t>支持</w:t>
            </w:r>
          </w:p>
        </w:tc>
        <w:tc>
          <w:tcPr>
            <w:tcW w:w="144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ascii="宋体" w:hAnsi="宋体" w:cs="Calibri"/>
                <w:sz w:val="21"/>
                <w:szCs w:val="21"/>
              </w:rPr>
              <w:t>4.11</w:t>
            </w:r>
          </w:p>
        </w:tc>
        <w:tc>
          <w:tcPr>
            <w:tcW w:w="2474"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sz w:val="21"/>
                <w:szCs w:val="21"/>
              </w:rPr>
            </w:pPr>
            <w:r>
              <w:rPr>
                <w:rFonts w:ascii="宋体" w:hAnsi="宋体" w:cs="Calibri"/>
                <w:sz w:val="21"/>
                <w:szCs w:val="21"/>
              </w:rPr>
              <w:t>工程师培训</w:t>
            </w:r>
          </w:p>
        </w:tc>
        <w:tc>
          <w:tcPr>
            <w:tcW w:w="4188" w:type="dxa"/>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cs="Calibri"/>
                <w:sz w:val="21"/>
                <w:szCs w:val="21"/>
              </w:rPr>
            </w:pPr>
            <w:r>
              <w:rPr>
                <w:rFonts w:ascii="宋体" w:hAnsi="宋体" w:cs="Calibri"/>
                <w:sz w:val="21"/>
                <w:szCs w:val="21"/>
              </w:rPr>
              <w:t>支持</w:t>
            </w:r>
          </w:p>
        </w:tc>
        <w:tc>
          <w:tcPr>
            <w:tcW w:w="144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Calibri"/>
                <w:sz w:val="21"/>
                <w:szCs w:val="21"/>
              </w:rPr>
            </w:pPr>
          </w:p>
        </w:tc>
      </w:tr>
    </w:tbl>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标记（有1项不满足即按无效投标处理），重要指标参数以▲标记，一般技术指标参数不作标记。投标人须提供技术支持资料</w:t>
      </w:r>
      <w:r>
        <w:rPr>
          <w:rFonts w:hint="eastAsia" w:cs="Times New Roman" w:asciiTheme="minorEastAsia" w:hAnsiTheme="minorEastAsia"/>
          <w:kern w:val="0"/>
          <w:sz w:val="24"/>
          <w:szCs w:val="24"/>
        </w:rPr>
        <w:t>，包括制造商公开发布的资料（含制造商出具的产品规格表或检测机构出具的检测报告）。</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（一）交货时间：</w:t>
      </w:r>
      <w:r>
        <w:rPr>
          <w:rFonts w:hint="eastAsia" w:cs="Times New Roman" w:asciiTheme="minorEastAsia" w:hAnsiTheme="minorEastAsia"/>
          <w:kern w:val="0"/>
          <w:sz w:val="24"/>
          <w:szCs w:val="24"/>
          <w:u w:val="single"/>
        </w:rPr>
        <w:t>中标人应在采购合同签订后90个日历日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（二）</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售后服务</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6.凡涉及与我院HIS、LIS、PACS、电生理系统、病理信息系统等系统连接的设备，要求具有标准数字接口，若投标产品没有匹配的接口，由中标供应商负责改造并承担相应费用。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投标/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包装和运输：卖方负责设备的包装和运输。包装必须坚固，能适用远距离的海运、空运及气候的变化，并能适应中国境内铁路、公路运输。</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10.若此次招标设备需配套使用耗材（试剂），耗材（试剂）需要一并进行报价，视情纳入计算经济分。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★（三）</w:t>
      </w:r>
      <w:r>
        <w:rPr>
          <w:rFonts w:hint="eastAsia" w:cs="Times New Roman" w:asciiTheme="minorEastAsia" w:hAnsiTheme="minorEastAsia"/>
          <w:kern w:val="0"/>
          <w:sz w:val="24"/>
          <w:szCs w:val="24"/>
        </w:rPr>
        <w:t>专利权和保密要求</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投标人应保证使用方在使用该货物或其任何一部分时，不受第三方侵权指控。同时，投标人不得向第三方泄露招标人提供的技术文件等资料。</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p>
    <w:p>
      <w:pPr>
        <w:adjustRightInd w:val="0"/>
        <w:snapToGrid w:val="0"/>
        <w:spacing w:line="440" w:lineRule="exact"/>
        <w:ind w:firstLine="462" w:firstLineChars="200"/>
        <w:rPr>
          <w:rFonts w:cs="Times New Roman" w:asciiTheme="minorEastAsia" w:hAnsiTheme="minorEastAsia"/>
          <w:b/>
          <w:kern w:val="0"/>
          <w:sz w:val="24"/>
          <w:szCs w:val="24"/>
        </w:rPr>
        <w:sectPr>
          <w:headerReference r:id="rId5" w:type="default"/>
          <w:footerReference r:id="rId6" w:type="default"/>
          <w:pgSz w:w="11906" w:h="16838"/>
          <w:pgMar w:top="2098" w:right="1474" w:bottom="1985" w:left="1588" w:header="851" w:footer="992" w:gutter="0"/>
          <w:cols w:space="425" w:num="1"/>
          <w:docGrid w:type="linesAndChars" w:linePitch="579" w:charSpace="-1844"/>
        </w:sectPr>
      </w:pPr>
    </w:p>
    <w:p>
      <w:pPr>
        <w:autoSpaceDE w:val="0"/>
        <w:autoSpaceDN w:val="0"/>
        <w:adjustRightInd w:val="0"/>
        <w:snapToGrid w:val="0"/>
        <w:spacing w:line="440" w:lineRule="exact"/>
        <w:jc w:val="center"/>
        <w:outlineLvl w:val="0"/>
        <w:rPr>
          <w:rFonts w:ascii="黑体" w:hAnsi="黑体" w:eastAsia="黑体" w:cs="Times New Roman"/>
          <w:kern w:val="0"/>
          <w:sz w:val="32"/>
          <w:szCs w:val="32"/>
        </w:rPr>
      </w:pPr>
      <w:bookmarkStart w:id="9" w:name="_Toc37172689"/>
      <w:bookmarkStart w:id="10" w:name="_Toc390713968"/>
      <w:bookmarkStart w:id="11" w:name="_Toc435540980"/>
      <w:bookmarkStart w:id="12" w:name="_Toc240432230"/>
      <w:bookmarkStart w:id="13" w:name="_Toc285612601"/>
      <w:r>
        <w:rPr>
          <w:rFonts w:hint="eastAsia" w:ascii="黑体" w:hAnsi="黑体" w:eastAsia="黑体" w:cs="Times New Roman"/>
          <w:kern w:val="0"/>
          <w:sz w:val="32"/>
          <w:szCs w:val="32"/>
        </w:rPr>
        <w:t xml:space="preserve">第三部分  </w:t>
      </w:r>
      <w:r>
        <w:rPr>
          <w:rFonts w:hint="eastAsia" w:ascii="黑体" w:hAnsi="黑体" w:eastAsia="黑体" w:cs="Times New Roman"/>
          <w:kern w:val="0"/>
          <w:sz w:val="32"/>
          <w:szCs w:val="32"/>
          <w:lang w:val="zh-CN"/>
        </w:rPr>
        <w:t>投标人</w:t>
      </w:r>
      <w:r>
        <w:rPr>
          <w:rFonts w:hint="eastAsia" w:ascii="黑体" w:hAnsi="黑体" w:eastAsia="黑体" w:cs="Times New Roman"/>
          <w:kern w:val="0"/>
          <w:sz w:val="32"/>
          <w:szCs w:val="32"/>
        </w:rPr>
        <w:t>须知</w:t>
      </w:r>
      <w:bookmarkEnd w:id="9"/>
      <w:bookmarkEnd w:id="10"/>
      <w:bookmarkEnd w:id="11"/>
      <w:bookmarkEnd w:id="12"/>
      <w:bookmarkEnd w:id="13"/>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明</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（一）概述</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snapToGrid w:val="0"/>
          <w:kern w:val="0"/>
          <w:sz w:val="24"/>
          <w:szCs w:val="24"/>
          <w:lang w:val="zh-CN"/>
        </w:rPr>
        <w:t>本招标文件仅适用于《招标公告》中所述的采购项目；</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2.</w:t>
      </w:r>
      <w:r>
        <w:rPr>
          <w:rFonts w:hint="eastAsia" w:asciiTheme="minorEastAsia" w:hAnsiTheme="minor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（二）定义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1.“采购项目”系指本招标文件描述的所需采购的货物和相关服务；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2.“招标人”系指组织本次招标的</w:t>
      </w:r>
      <w:r>
        <w:rPr>
          <w:rFonts w:hint="eastAsia" w:cs="Times New Roman" w:asciiTheme="minorEastAsia" w:hAnsiTheme="minorEastAsia"/>
          <w:snapToGrid w:val="0"/>
          <w:kern w:val="0"/>
          <w:sz w:val="24"/>
          <w:szCs w:val="24"/>
          <w:u w:val="single"/>
          <w:lang w:val="zh-CN"/>
        </w:rPr>
        <w:t xml:space="preserve">  物资采购中心  </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3.“投标人”系指从招标人按规定获取招标文件，并提交投标文件的供应商；</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4.“中标人”系指经过招标评审，授予合同的投标人；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5.“货物”系指中标人按招标文件规定，所提供的各种形态和种类的物品，包括设备、产品、备品备件、工具、手册等；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6.“服务”系指中标人按招标文件规定，必须承担的运输、安装、调试、技术协助、培训、维修、配件供应等义务。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（三）合格的投标人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1.能够遵守国家和军队的有关法律、法规和本次招标的有关规定；</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2.符合《招标公告》所述投标人的资格要求和特定资格条件；</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3.能够承担投标及履约中应承担的全部责任与义务。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（四）合格的货物和相关服务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2.投标人提供的货物必须是全新的、未使用过的，货物和相关服务应当符合招标文件要求。</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（五）投标委托</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如投标人代表不是法定代表人，须持有《法定代表人授权书》（</w:t>
      </w:r>
      <w:r>
        <w:rPr>
          <w:rFonts w:hint="eastAsia" w:cs="Times New Roman" w:asciiTheme="minorEastAsia" w:hAnsiTheme="minorEastAsia"/>
          <w:kern w:val="0"/>
          <w:sz w:val="24"/>
          <w:szCs w:val="24"/>
          <w:lang w:val="zh-CN"/>
        </w:rPr>
        <w:t>附件17</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（七）投标费用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不论投标结果如何，投标人均应自行承担与投标有关的全部费用。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（八）信息发布</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本采购项目需要公开的有关信息，招标人均同步在《军队采购网》（www.plap.cn）、《中国招标网》（www.zhaobiao.cn）及我院官网（www.xnyy.cn）公开发布。投标人在参与本采购项目招投标活动期间，请及时关注以上媒体上的相关信息，投标人因没有及时关注而未能如期获取相关信息，将会增加投标风险，招标人对此不承担任何责任。</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w:t>
      </w:r>
      <w:r>
        <w:rPr>
          <w:rFonts w:cs="Times New Roman" w:asciiTheme="minorEastAsia" w:hAnsiTheme="minorEastAsia"/>
          <w:kern w:val="0"/>
          <w:sz w:val="24"/>
          <w:szCs w:val="24"/>
        </w:rPr>
        <w:t>文件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（一）招标文件的内容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招标文件由招标公告、采购项目技术和商务要求、投标人须知、合同样本、附件/投标文件格式等内容构成。</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招标文件以中文编写。纸质招标文件与电子版招标文件具有同等法律效力，两者出现不一致时，以纸质招标文件为准。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（二）招标文件的澄清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（三）招标文件的修改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1.投标截止时间前，招标人可对已发出的招标文件进行修改。招标文件修改内容是招标文件的组成部分。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w:t>
      </w:r>
      <w:r>
        <w:rPr>
          <w:rFonts w:cs="Times New Roman" w:asciiTheme="minorEastAsia" w:hAnsiTheme="minorEastAsia"/>
          <w:kern w:val="0"/>
          <w:sz w:val="24"/>
          <w:szCs w:val="24"/>
        </w:rPr>
        <w:t>文件编制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（一）注意事项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（二）投标文件的语言及计量单位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2.投标文件中所使用的计量单位，除投标文件中有特殊要求外，均采用国家法定计量单位。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（三）投标文件组成（包括3部分：价格文件、投标书、资格证明文件）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1.价格文件包括（信封单独封装）：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(1)开标一览表（附件1）</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(2)分项报价表（附件2）</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2.投标书包括：</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(1)投标函（附件3）</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(2)货物简要说明一览表（附件4）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(3)主要技术性能参数表（附件5）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(4)技术指标参数响应偏离表（附件6）</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(5)主要商务条款响应偏离表（附件7）</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(6)交货清单（附件8）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(7)易损易耗件清单（附件9）</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(8)专机配套耗材（试剂）明细表（附件10）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(9)投标人售后服务承诺（附件11）</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(10)生产厂家售后服务承诺（进口设备由总代提供，附件12）</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(11)近3年中标成交案例及同类项目案例（附件13）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(12)投标产品相关检测报告</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(13)技术评审表（附件14）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(14)商务评审表（附件15）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(3)法定代表人授权书（含被授权人身份证复印件）（原件，如法定代表人未到开标现场需提供，附件17）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(11)医疗器械经营许可证或二类备案凭证（需具备投标产品经营资格)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(14)投标产品《医疗器械产品注册证》（所投产品不属于医疗器械的无需提供）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(15)生产企业对代理公司投标授权书（进口产品需提供原产厂家对中国总代的中英文授权书复印件或同步翻译件。附件22）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(17)</w:t>
      </w:r>
      <w:r>
        <w:rPr>
          <w:rFonts w:hint="eastAsia"/>
        </w:rPr>
        <w:t xml:space="preserve"> </w:t>
      </w:r>
      <w:r>
        <w:rPr>
          <w:rFonts w:hint="eastAsia" w:cs="Times New Roman" w:asciiTheme="minorEastAsia" w:hAnsiTheme="minorEastAsia"/>
          <w:kern w:val="0"/>
          <w:sz w:val="24"/>
          <w:szCs w:val="24"/>
        </w:rPr>
        <w:t>投标人可以选择性提供其他资格证明文件，包括但不限于质量管理体系认证证书、环境管理体系认证证书、职业健康管理体系认证证书、3C认证、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投标人必须按上述统一格式及顺序向招标人提供《价格文件》《投标书》和《资格证明文件》，否则可能被视为无效投标。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（四）投标文件的格式规定和签署</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仿宋_GB2312" w:hAnsi="宋体" w:eastAsia="仿宋_GB2312" w:cs="Times New Roman"/>
          <w:snapToGrid w:val="0"/>
          <w:kern w:val="0"/>
          <w:sz w:val="32"/>
          <w:szCs w:val="32"/>
        </w:rPr>
        <w:t xml:space="preserve"> </w:t>
      </w:r>
      <w:r>
        <w:rPr>
          <w:rFonts w:hint="eastAsia" w:ascii="宋体" w:hAnsi="宋体" w:eastAsia="宋体" w:cs="Times New Roman"/>
          <w:kern w:val="0"/>
          <w:sz w:val="24"/>
          <w:szCs w:val="24"/>
        </w:rPr>
        <w:t>投标文件应当工整、规范、统一、清晰，</w:t>
      </w:r>
      <w:r>
        <w:rPr>
          <w:rFonts w:hint="eastAsia" w:ascii="宋体" w:hAnsi="宋体" w:eastAsia="宋体" w:cs="Times New Roman"/>
          <w:b/>
          <w:kern w:val="0"/>
          <w:sz w:val="24"/>
          <w:szCs w:val="24"/>
        </w:rPr>
        <w:t>采用A4幅面纸胶装成册、标注页码</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2.</w:t>
      </w:r>
      <w:r>
        <w:rPr>
          <w:rFonts w:hint="eastAsia" w:cs="Times New Roman" w:asciiTheme="minorEastAsia" w:hAnsiTheme="minorEastAsia"/>
          <w:kern w:val="0"/>
          <w:sz w:val="24"/>
          <w:szCs w:val="24"/>
        </w:rPr>
        <w:t>投标人应当按照招标文件规定的统一格式填写投标文件，投标文件开始部分应当有目录，以及方便评审委员会评审使用的项目索引。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3.投标人名称应当填写全称，同时加盖单位公章。</w:t>
      </w:r>
    </w:p>
    <w:p>
      <w:pPr>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4.价格文件、投标书、资格证明文件须单独封装。价格文件一式1份，其中正本1份；投标书一式</w:t>
      </w:r>
      <w:r>
        <w:rPr>
          <w:rFonts w:hint="eastAsia" w:cs="Times New Roman" w:asciiTheme="minorEastAsia" w:hAnsiTheme="minorEastAsia"/>
          <w:kern w:val="0"/>
          <w:sz w:val="24"/>
          <w:szCs w:val="24"/>
          <w:u w:val="single"/>
        </w:rPr>
        <w:t xml:space="preserve"> 7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份；资格证明文件一式</w:t>
      </w:r>
      <w:r>
        <w:rPr>
          <w:rFonts w:hint="eastAsia" w:cs="Times New Roman" w:asciiTheme="minorEastAsia" w:hAnsiTheme="minorEastAsia"/>
          <w:kern w:val="0"/>
          <w:sz w:val="24"/>
          <w:szCs w:val="24"/>
          <w:u w:val="single"/>
        </w:rPr>
        <w:t xml:space="preserve"> 3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2 </w:t>
      </w:r>
      <w:r>
        <w:rPr>
          <w:rFonts w:hint="eastAsia" w:cs="Times New Roman" w:asciiTheme="minorEastAsia" w:hAnsiTheme="minorEastAsia"/>
          <w:kern w:val="0"/>
          <w:sz w:val="24"/>
          <w:szCs w:val="24"/>
        </w:rPr>
        <w:t>份。在每一份文件上要注明“正本”或“副本”字样。如果正本与副本不符，以正本为准。</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5.投标文件必须打印或用黑色、蓝黑色墨水填写。</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6.开标一览表必须按照规定的格式填写，不得自行增减内容。</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7.投标文件必须由法定代表人或授权代表签署。</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8.投标文件不得随意涂改和增删。如有修改错漏之处，必须由法定代表人或授权代表签字、盖章。</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w:t>
      </w:r>
      <w:r>
        <w:rPr>
          <w:rFonts w:hint="eastAsia" w:cs="Times New Roman" w:asciiTheme="minorEastAsia" w:hAnsiTheme="minorEastAsia"/>
          <w:kern w:val="0"/>
          <w:sz w:val="24"/>
          <w:szCs w:val="24"/>
          <w:lang w:val="zh-CN"/>
        </w:rPr>
        <w:t>因字迹潦草或表述不清以及复印件不清所引起的后果由投标人自行负责</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（五）</w:t>
      </w:r>
      <w:r>
        <w:rPr>
          <w:rFonts w:hint="eastAsia" w:cs="Times New Roman" w:asciiTheme="minorEastAsia" w:hAnsiTheme="minorEastAsia"/>
          <w:snapToGrid w:val="0"/>
          <w:kern w:val="0"/>
          <w:sz w:val="24"/>
          <w:szCs w:val="24"/>
        </w:rPr>
        <w:t>投标文件有效期</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投标文件自投标截止时间起</w:t>
      </w:r>
      <w:r>
        <w:rPr>
          <w:rFonts w:hint="eastAsia" w:cs="宋体" w:asciiTheme="minorEastAsia" w:hAnsiTheme="minorEastAsia"/>
          <w:snapToGrid w:val="0"/>
          <w:kern w:val="0"/>
          <w:sz w:val="24"/>
          <w:szCs w:val="24"/>
          <w:lang w:val="zh-CN"/>
        </w:rPr>
        <w:t>180</w:t>
      </w:r>
      <w:r>
        <w:rPr>
          <w:rFonts w:hint="eastAsia" w:cs="Times New Roman" w:asciiTheme="minorEastAsia" w:hAnsiTheme="minorEastAsia"/>
          <w:kern w:val="0"/>
          <w:sz w:val="24"/>
          <w:szCs w:val="24"/>
          <w:lang w:val="zh-CN"/>
        </w:rPr>
        <w:t>日内保持有效。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2.投标文件有效期需要延长的，招标人可与投标人进行协商，并以书面形式予以确认。同意延长有效期的投标人不能修改投标文件。</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3.在招标过程中</w:t>
      </w:r>
      <w:r>
        <w:rPr>
          <w:rFonts w:hint="eastAsia" w:cs="Times New Roman" w:asciiTheme="minorEastAsia" w:hAnsiTheme="minorEastAsia"/>
          <w:kern w:val="0"/>
          <w:sz w:val="24"/>
          <w:szCs w:val="24"/>
        </w:rPr>
        <w:t>，投标人发生合并、分立、破产等重大变化时，应当及时书面告知招标人。</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（六）投标</w:t>
      </w:r>
      <w:r>
        <w:rPr>
          <w:rFonts w:hint="eastAsia" w:cs="Times New Roman" w:asciiTheme="minorEastAsia" w:hAnsiTheme="minorEastAsia"/>
          <w:snapToGrid w:val="0"/>
          <w:kern w:val="0"/>
          <w:sz w:val="24"/>
          <w:szCs w:val="24"/>
        </w:rPr>
        <w:t>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所有报价均以人民币为货币单位</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zh-CN"/>
        </w:rPr>
        <w:t>所有单价和总价按照开标一览表格式要求填报。</w:t>
      </w:r>
      <w:r>
        <w:rPr>
          <w:rFonts w:hint="eastAsia" w:cs="宋体" w:asciiTheme="minorEastAsia" w:hAnsiTheme="minorEastAsia"/>
          <w:snapToGrid w:val="0"/>
          <w:kern w:val="0"/>
          <w:sz w:val="24"/>
          <w:szCs w:val="24"/>
          <w:lang w:val="zh-CN"/>
        </w:rPr>
        <w:t>报价应包括货款、标准附件、备品备件、专用工具、包装、安装、调试、培训、保修等费用和税金。</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宋体" w:asciiTheme="minorEastAsia" w:hAnsiTheme="minorEastAsia"/>
          <w:snapToGrid w:val="0"/>
          <w:kern w:val="0"/>
          <w:sz w:val="24"/>
          <w:szCs w:val="24"/>
          <w:lang w:val="zh-CN"/>
        </w:rPr>
        <w:t>3.</w:t>
      </w:r>
      <w:r>
        <w:rPr>
          <w:rFonts w:hint="eastAsia" w:cs="Times New Roman" w:asciiTheme="minorEastAsia" w:hAnsiTheme="minor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4.投标人</w:t>
      </w:r>
      <w:r>
        <w:rPr>
          <w:rFonts w:hint="eastAsia" w:cs="Times New Roman" w:asciiTheme="minorEastAsia" w:hAnsiTheme="minorEastAsia"/>
          <w:kern w:val="0"/>
          <w:sz w:val="24"/>
          <w:szCs w:val="24"/>
        </w:rPr>
        <w:t>对同一种货物只允许有一种报价，招标人不接受任何有选择的报价或者有附加条件的报价。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明材料，否则评审委员会有权视其为低价恶意竞争，其投标报价无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w:t>
      </w:r>
      <w:r>
        <w:rPr>
          <w:rFonts w:cs="Times New Roman" w:asciiTheme="minorEastAsia" w:hAnsiTheme="minorEastAsia"/>
          <w:kern w:val="0"/>
          <w:sz w:val="24"/>
          <w:szCs w:val="24"/>
        </w:rPr>
        <w:t>文件递交</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（一）投标文件密封及标记</w:t>
      </w:r>
    </w:p>
    <w:p>
      <w:pPr>
        <w:adjustRightInd w:val="0"/>
        <w:snapToGrid w:val="0"/>
        <w:spacing w:line="440" w:lineRule="exact"/>
        <w:ind w:firstLine="462" w:firstLineChars="200"/>
        <w:rPr>
          <w:rFonts w:asciiTheme="minorEastAsia" w:hAnsiTheme="minorEastAsia"/>
          <w:sz w:val="24"/>
          <w:szCs w:val="24"/>
        </w:rPr>
      </w:pPr>
      <w:r>
        <w:rPr>
          <w:rFonts w:hint="eastAsia" w:cs="Times New Roman" w:asciiTheme="minorEastAsia" w:hAnsiTheme="minorEastAsia"/>
          <w:snapToGrid w:val="0"/>
          <w:kern w:val="0"/>
          <w:sz w:val="24"/>
          <w:szCs w:val="24"/>
        </w:rPr>
        <w:t>1.</w:t>
      </w:r>
      <w:r>
        <w:rPr>
          <w:rFonts w:hint="eastAsia" w:asciiTheme="minorEastAsia" w:hAnsiTheme="minorEastAsia"/>
          <w:sz w:val="24"/>
          <w:szCs w:val="24"/>
        </w:rPr>
        <w:t>价格文件须单独密封、单独递交，与其他文件合并封装的，视为无效投标。</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2.投标书、资格证明文件的正本和副本统一装入密封袋内，封口处应当有投标人单位公章，封面上注明“项目名称、项目编号、所投包号、投标人名称”和“开标时启封”字样。</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3.投标人应当在招标文件明确的递交投标文件截止时间前，将投标文件送达招标人指定地点。逾期递交的投标文件，招标人将拒收。</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4.电报、电话、电传、邮寄等形式的投标文件概不接受。</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5.投标文件未按要求密封、标记的，招标人将拒收。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lang w:val="zh-CN"/>
        </w:rPr>
        <w:t>（二）</w:t>
      </w:r>
      <w:r>
        <w:rPr>
          <w:rFonts w:hint="eastAsia" w:cs="Times New Roman" w:asciiTheme="minorEastAsia" w:hAnsiTheme="minorEastAsia"/>
          <w:snapToGrid w:val="0"/>
          <w:kern w:val="0"/>
          <w:sz w:val="24"/>
          <w:szCs w:val="24"/>
        </w:rPr>
        <w:t>投标文件的修改和撤回</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2.在投标截止时间之后，招标人将不接受对投标文件内容的实质性修改。</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3.投标人修改投标文件的书面材料，须密封送达投标地点，并在封面上标明“投标修改文件、项目名称、项目编号、投标人名称”和“开标时启封”字样。</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5.开标后，投标人不得撤回投标。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五、开标与评标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（一）开标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仿宋_GB2312" w:hAnsi="宋体" w:eastAsia="仿宋_GB2312" w:cs="Times New Roman"/>
          <w:snapToGrid w:val="0"/>
          <w:kern w:val="0"/>
          <w:sz w:val="32"/>
          <w:szCs w:val="32"/>
        </w:rPr>
        <w:t xml:space="preserve"> </w:t>
      </w:r>
      <w:r>
        <w:rPr>
          <w:rFonts w:hint="eastAsia" w:ascii="宋体" w:hAnsi="宋体" w:eastAsia="宋体" w:cs="Times New Roman"/>
          <w:snapToGrid w:val="0"/>
          <w:kern w:val="0"/>
          <w:sz w:val="24"/>
          <w:szCs w:val="24"/>
        </w:rPr>
        <w:t>投标人不足3家的不得开标，除改用比照竞争性谈判或者单一来源方式外，不得拆封供应商投标文件，并当场退还供应商</w:t>
      </w:r>
      <w:r>
        <w:rPr>
          <w:rFonts w:hint="eastAsia" w:cs="Times New Roman" w:asciiTheme="minorEastAsia" w:hAnsiTheme="minorEastAsia"/>
          <w:snapToGrid w:val="0"/>
          <w:kern w:val="0"/>
          <w:sz w:val="24"/>
          <w:szCs w:val="24"/>
        </w:rPr>
        <w:t>。</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2.招标人按招标文件规定的时间、地点开标。开标大会由招标人主持，投标人和有关方面代表参加。评审委员会成员不得参加开标大会。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4.投标人对开标有异议的，应当在开标现场提出，招标人应当场作出答复。招标人同时做开标记录。</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（二）评标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1.评审委员会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招标人根据规定组建评审委员会，其成员由技术、经济等方面的专家和招标人代表组成，分为技术评审组和商务评审组，对投标文件进行评审。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2.评标原则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(1)评标工作严格遵守公平、公正、择优的原则；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(2)对所有响应招标文件实质性要求的投标人一视同仁；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(3)综合比较货物性能、质量、价格、交货期、售后服务等因素，确定评审排序结果；</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(4)报价最低不作为中标的保证。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3.评标方法</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投标人报价高于采购预算的，不得推荐为</w:t>
      </w:r>
      <w:r>
        <w:rPr>
          <w:rFonts w:hint="eastAsia" w:cs="Times New Roman" w:asciiTheme="minorEastAsia" w:hAnsiTheme="minorEastAsia"/>
          <w:sz w:val="24"/>
          <w:szCs w:val="24"/>
        </w:rPr>
        <w:t>预中标人</w:t>
      </w:r>
      <w:r>
        <w:rPr>
          <w:rFonts w:hint="eastAsia" w:ascii="宋体" w:hAnsi="宋体" w:eastAsia="宋体" w:cs="Times New Roman"/>
          <w:kern w:val="0"/>
          <w:sz w:val="24"/>
          <w:szCs w:val="24"/>
        </w:rPr>
        <w:t>（经采购管理部门批准同意的除外）。</w:t>
      </w:r>
    </w:p>
    <w:p>
      <w:pPr>
        <w:adjustRightInd w:val="0"/>
        <w:snapToGrid w:val="0"/>
        <w:spacing w:line="440" w:lineRule="exact"/>
        <w:ind w:firstLine="462" w:firstLineChars="200"/>
        <w:rPr>
          <w:rFonts w:cs="Times New Roman" w:asciiTheme="minorEastAsia" w:hAnsiTheme="minorEastAsia"/>
          <w:sz w:val="24"/>
          <w:szCs w:val="24"/>
        </w:rPr>
      </w:pPr>
    </w:p>
    <w:p>
      <w:pPr>
        <w:adjustRightInd w:val="0"/>
        <w:snapToGrid w:val="0"/>
        <w:spacing w:line="440" w:lineRule="exact"/>
        <w:ind w:firstLine="227" w:firstLineChars="98"/>
        <w:rPr>
          <w:rFonts w:ascii="黑体" w:hAnsi="黑体" w:eastAsia="黑体" w:cs="Times New Roman"/>
          <w:kern w:val="0"/>
          <w:sz w:val="32"/>
          <w:szCs w:val="32"/>
        </w:rPr>
      </w:pPr>
      <w:r>
        <w:rPr>
          <w:rFonts w:cs="Times New Roman" w:asciiTheme="minorEastAsia" w:hAnsiTheme="minorEastAsia"/>
          <w:color w:val="3366FF"/>
          <w:kern w:val="0"/>
          <w:sz w:val="24"/>
          <w:szCs w:val="24"/>
        </w:rPr>
        <w:br w:type="page"/>
      </w:r>
      <w:r>
        <w:rPr>
          <w:rFonts w:hint="eastAsia" w:ascii="黑体" w:hAnsi="黑体" w:eastAsia="黑体" w:cs="Times New Roman"/>
          <w:kern w:val="0"/>
          <w:sz w:val="32"/>
          <w:szCs w:val="32"/>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adjustRightInd w:val="0"/>
        <w:snapToGrid w:val="0"/>
        <w:spacing w:line="44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项目名称：                   </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 xml:space="preserve">项目编号：                            </w:t>
      </w:r>
      <w:r>
        <w:rPr>
          <w:rFonts w:hint="eastAsia" w:ascii="Times New Roman" w:hAnsi="Times New Roman" w:eastAsia="宋体" w:cs="Times New Roman"/>
          <w:kern w:val="0"/>
          <w:sz w:val="24"/>
          <w:szCs w:val="24"/>
        </w:rPr>
        <w:t xml:space="preserve"> </w:t>
      </w:r>
    </w:p>
    <w:tbl>
      <w:tblPr>
        <w:tblStyle w:val="17"/>
        <w:tblW w:w="5339" w:type="pct"/>
        <w:jc w:val="center"/>
        <w:tblLayout w:type="fixed"/>
        <w:tblCellMar>
          <w:top w:w="0" w:type="dxa"/>
          <w:left w:w="108" w:type="dxa"/>
          <w:bottom w:w="0" w:type="dxa"/>
          <w:right w:w="108" w:type="dxa"/>
        </w:tblCellMar>
      </w:tblPr>
      <w:tblGrid>
        <w:gridCol w:w="9675"/>
      </w:tblGrid>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审查项目</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2.法定代表人资格证明书和授权书</w:t>
            </w:r>
            <w:r>
              <w:rPr>
                <w:rFonts w:hint="eastAsia" w:cs="Times New Roman" w:asciiTheme="minorEastAsia" w:hAnsiTheme="minorEastAsia"/>
                <w:kern w:val="0"/>
                <w:szCs w:val="21"/>
              </w:rPr>
              <w:t>（含法定代表人身份证复印件）</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3.主要股东或出资人信息</w:t>
            </w:r>
            <w:r>
              <w:rPr>
                <w:rFonts w:hint="eastAsia" w:cs="Times New Roman" w:asciiTheme="minorEastAsia" w:hAnsiTheme="minorEastAsia"/>
                <w:kern w:val="0"/>
                <w:szCs w:val="21"/>
              </w:rPr>
              <w:t>（含被授权人身份证复印件）</w:t>
            </w:r>
          </w:p>
        </w:tc>
      </w:tr>
      <w:tr>
        <w:tblPrEx>
          <w:tblCellMar>
            <w:top w:w="0" w:type="dxa"/>
            <w:left w:w="108" w:type="dxa"/>
            <w:bottom w:w="0" w:type="dxa"/>
            <w:right w:w="108" w:type="dxa"/>
          </w:tblCellMar>
        </w:tblPrEx>
        <w:trPr>
          <w:trHeight w:val="655"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4.最近连续6个月缴纳社会保障金的银行转账汇款单或相应证明材料</w:t>
            </w:r>
            <w:r>
              <w:rPr>
                <w:rFonts w:hint="eastAsia" w:cs="Times New Roman" w:asciiTheme="minorEastAsia" w:hAnsiTheme="minorEastAsia"/>
                <w:kern w:val="0"/>
                <w:szCs w:val="21"/>
              </w:rPr>
              <w:t>（依法不需要缴纳社会保障资金的投标人，应提供相应文件证明其不需要缴纳社会保障资金）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5.最近连续6个月纳税的银行转账汇款单或相应证明材料</w:t>
            </w:r>
            <w:r>
              <w:rPr>
                <w:rFonts w:hint="eastAsia" w:cs="Times New Roman" w:asciiTheme="minorEastAsia" w:hAnsiTheme="minorEastAsia"/>
                <w:kern w:val="0"/>
                <w:szCs w:val="21"/>
              </w:rPr>
              <w:t>（依法免税的投标人，应提供相应文件证明其依法免税）</w:t>
            </w:r>
          </w:p>
        </w:tc>
      </w:tr>
      <w:tr>
        <w:tblPrEx>
          <w:tblCellMar>
            <w:top w:w="0" w:type="dxa"/>
            <w:left w:w="108" w:type="dxa"/>
            <w:bottom w:w="0" w:type="dxa"/>
            <w:right w:w="108" w:type="dxa"/>
          </w:tblCellMar>
        </w:tblPrEx>
        <w:trPr>
          <w:trHeight w:val="992"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6.</w:t>
            </w:r>
            <w:r>
              <w:rPr>
                <w:rFonts w:hint="eastAsia" w:cs="Times New Roman" w:asciiTheme="minorEastAsia" w:hAnsiTheme="minor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7.</w:t>
            </w:r>
            <w:r>
              <w:rPr>
                <w:rFonts w:hint="eastAsia" w:asciiTheme="minorEastAsia" w:hAnsiTheme="minorEastAsia"/>
                <w:szCs w:val="21"/>
              </w:rPr>
              <w:t xml:space="preserve"> </w:t>
            </w:r>
            <w:r>
              <w:rPr>
                <w:rFonts w:hint="eastAsia" w:cs="Times New Roman" w:asciiTheme="minorEastAsia" w:hAnsiTheme="minorEastAsia"/>
                <w:kern w:val="0"/>
                <w:szCs w:val="21"/>
              </w:rPr>
              <w:t>相关声明书：</w:t>
            </w:r>
            <w:r>
              <w:rPr>
                <w:rFonts w:hint="eastAsia" w:cs="宋体" w:asciiTheme="minorEastAsia" w:hAnsiTheme="minorEastAsia"/>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4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8.</w:t>
            </w:r>
            <w:r>
              <w:rPr>
                <w:rFonts w:hint="eastAsia" w:asciiTheme="minorEastAsia" w:hAnsiTheme="minorEastAsia"/>
                <w:szCs w:val="21"/>
              </w:rPr>
              <w:t xml:space="preserve"> </w:t>
            </w:r>
            <w:r>
              <w:rPr>
                <w:rFonts w:hint="eastAsia" w:cs="宋体" w:asciiTheme="minorEastAsia" w:hAnsiTheme="minorEastAsia"/>
                <w:kern w:val="0"/>
                <w:szCs w:val="21"/>
              </w:rPr>
              <w:t>医疗器械经营许可证或二类备案凭证</w:t>
            </w:r>
            <w:r>
              <w:rPr>
                <w:rFonts w:hint="eastAsia" w:cs="Times New Roman" w:asciiTheme="minorEastAsia" w:hAnsiTheme="minorEastAsia"/>
                <w:kern w:val="0"/>
                <w:szCs w:val="21"/>
              </w:rPr>
              <w:t>（需具备投标产品经营资格；所投产品不属于医疗器械的无需提供)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9. 生产企业营业执照（进口产品需提供国内总代理营业执照）</w:t>
            </w:r>
          </w:p>
        </w:tc>
      </w:tr>
      <w:tr>
        <w:tblPrEx>
          <w:tblCellMar>
            <w:top w:w="0" w:type="dxa"/>
            <w:left w:w="108" w:type="dxa"/>
            <w:bottom w:w="0" w:type="dxa"/>
            <w:right w:w="108" w:type="dxa"/>
          </w:tblCellMar>
        </w:tblPrEx>
        <w:trPr>
          <w:trHeight w:val="66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10.</w:t>
            </w:r>
            <w:r>
              <w:rPr>
                <w:rFonts w:hint="eastAsia" w:asciiTheme="minorEastAsia" w:hAnsiTheme="minorEastAsia"/>
                <w:szCs w:val="21"/>
              </w:rPr>
              <w:t xml:space="preserve"> </w:t>
            </w:r>
            <w:r>
              <w:rPr>
                <w:rFonts w:hint="eastAsia" w:cs="宋体" w:asciiTheme="minorEastAsia" w:hAnsiTheme="minorEastAsia"/>
                <w:kern w:val="0"/>
                <w:szCs w:val="21"/>
              </w:rPr>
              <w:t>生产企业《医疗器械生产许可证》</w:t>
            </w:r>
            <w:r>
              <w:rPr>
                <w:rFonts w:hint="eastAsia" w:cs="Times New Roman" w:asciiTheme="minorEastAsia" w:hAnsiTheme="minorEastAsia"/>
                <w:kern w:val="0"/>
                <w:szCs w:val="21"/>
              </w:rPr>
              <w:t>（需具备投标产品生产资格，进口产品提供国内总代理相关经营许可证；所投产品不属于医疗器械的无需提供）</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11.</w:t>
            </w:r>
            <w:r>
              <w:rPr>
                <w:rFonts w:hint="eastAsia" w:asciiTheme="minorEastAsia" w:hAnsiTheme="minorEastAsia"/>
                <w:szCs w:val="21"/>
              </w:rPr>
              <w:t xml:space="preserve"> </w:t>
            </w:r>
            <w:r>
              <w:rPr>
                <w:rFonts w:hint="eastAsia" w:cs="宋体" w:asciiTheme="minorEastAsia" w:hAnsiTheme="minorEastAsia"/>
                <w:kern w:val="0"/>
                <w:szCs w:val="21"/>
              </w:rPr>
              <w:t>投标产品《医疗器械产品注册证》</w:t>
            </w:r>
            <w:r>
              <w:rPr>
                <w:rFonts w:hint="eastAsia" w:cs="Times New Roman" w:asciiTheme="minorEastAsia" w:hAnsiTheme="minorEastAsia"/>
                <w:kern w:val="0"/>
                <w:szCs w:val="21"/>
              </w:rPr>
              <w:t>（所投产品不属于医疗器械的无需提供）</w:t>
            </w:r>
          </w:p>
        </w:tc>
      </w:tr>
      <w:tr>
        <w:tblPrEx>
          <w:tblCellMar>
            <w:top w:w="0" w:type="dxa"/>
            <w:left w:w="108" w:type="dxa"/>
            <w:bottom w:w="0" w:type="dxa"/>
            <w:right w:w="108" w:type="dxa"/>
          </w:tblCellMar>
        </w:tblPrEx>
        <w:trPr>
          <w:trHeight w:val="68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12.</w:t>
            </w:r>
            <w:r>
              <w:rPr>
                <w:rFonts w:hint="eastAsia" w:asciiTheme="minorEastAsia" w:hAnsiTheme="minorEastAsia"/>
                <w:szCs w:val="21"/>
              </w:rPr>
              <w:t xml:space="preserve"> </w:t>
            </w:r>
            <w:r>
              <w:rPr>
                <w:rFonts w:hint="eastAsia" w:cs="宋体" w:asciiTheme="minorEastAsia" w:hAnsiTheme="minorEastAsia"/>
                <w:kern w:val="0"/>
                <w:szCs w:val="21"/>
              </w:rPr>
              <w:t>生产企业对代理公司投标授权书</w:t>
            </w:r>
            <w:r>
              <w:rPr>
                <w:rFonts w:hint="eastAsia" w:cs="Times New Roman" w:asciiTheme="minorEastAsia" w:hAnsiTheme="minorEastAsia"/>
                <w:kern w:val="0"/>
                <w:szCs w:val="21"/>
              </w:rPr>
              <w:t>（进口产品需提供原产厂家对中国总代的中英文授权书复印件或同步翻译件）</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13.保密承诺书及廉洁诚信承诺书</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二、符合性审查内容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1.投标书、资格证明文件密封完好</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2.投标文件签署、盖章齐全完整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3.投标文件组成齐全完整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4.投标文件有效期满足招标文件要求</w:t>
            </w:r>
          </w:p>
        </w:tc>
      </w:tr>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320" w:lineRule="atLeast"/>
              <w:rPr>
                <w:rFonts w:cs="宋体" w:asciiTheme="minorEastAsia" w:hAnsiTheme="minorEastAsia"/>
                <w:b/>
                <w:kern w:val="0"/>
                <w:szCs w:val="21"/>
              </w:rPr>
            </w:pPr>
            <w:r>
              <w:rPr>
                <w:rFonts w:hint="eastAsia" w:cs="宋体" w:asciiTheme="minorEastAsia" w:hAnsiTheme="minorEastAsia"/>
                <w:b/>
                <w:kern w:val="0"/>
                <w:szCs w:val="21"/>
              </w:rPr>
              <w:t>说明：以上资格性和符合性要求均需满足，若有一条不满足，则为无效投标。</w:t>
            </w:r>
          </w:p>
        </w:tc>
      </w:tr>
    </w:tbl>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8648" w:type="dxa"/>
            <w:gridSpan w:val="4"/>
          </w:tcPr>
          <w:p>
            <w:pPr>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7"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满足招标文件要求且报价最低的为评审基准价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基准业绩=近三年（截止开标时间）所投产品有效合同累计销售最高数量（以有效合同份数计算）</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4"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2.所投产品具有CE认证的得标准分，没有得0分。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3.所投产品具有FDA认证的得标准分，没有得0分。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6.所投产品入围最近年度“中国医学装备协会发布优秀国产医疗设备产品目录”得标准分值，其他得0分。（提供证明材料）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7.</w:t>
            </w:r>
            <w:r>
              <w:rPr>
                <w:rFonts w:cs="Times New Roman" w:asciiTheme="majorEastAsia" w:hAnsiTheme="majorEastAsia" w:eastAsiaTheme="majorEastAsia"/>
                <w:kern w:val="0"/>
                <w:sz w:val="21"/>
                <w:szCs w:val="21"/>
              </w:rPr>
              <w:t xml:space="preserve"> 所投产品技术优势特色：最优得标准分，依次递减</w:t>
            </w:r>
            <w:r>
              <w:rPr>
                <w:rFonts w:hint="eastAsia" w:cs="Times New Roman" w:asciiTheme="majorEastAsia" w:hAnsiTheme="majorEastAsia" w:eastAsiaTheme="majorEastAsia"/>
                <w:kern w:val="0"/>
                <w:sz w:val="21"/>
                <w:szCs w:val="21"/>
              </w:rPr>
              <w:t>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产品技术性能指标参数满足偏离情况（45分）</w:t>
            </w:r>
          </w:p>
        </w:tc>
        <w:tc>
          <w:tcPr>
            <w:tcW w:w="6946" w:type="dxa"/>
            <w:tcBorders>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1.可以量化排名的</w:t>
            </w:r>
            <w:r>
              <w:rPr>
                <w:rFonts w:hint="eastAsia" w:ascii="宋体" w:hAnsi="宋体" w:eastAsia="宋体" w:cs="宋体"/>
                <w:kern w:val="0"/>
                <w:sz w:val="21"/>
                <w:szCs w:val="21"/>
              </w:rPr>
              <w:t>★</w:t>
            </w:r>
            <w:r>
              <w:rPr>
                <w:rFonts w:hint="eastAsia" w:cs="Times New Roman" w:asciiTheme="majorEastAsia" w:hAnsiTheme="majorEastAsia" w:eastAsiaTheme="majorEastAsia"/>
                <w:kern w:val="0"/>
                <w:sz w:val="21"/>
                <w:szCs w:val="21"/>
              </w:rPr>
              <w:t>号、</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8"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2.可以量化排名的</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 xml:space="preserve">3. </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号指标和一般指标中不便量化排名的，满足要求的得标准分值，不满足的得0分。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4.产品配置不齐全或性能用途与招标要求不符，“产品技术性能指标参数满足偏离情况”总得分为0分。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keepNext w:val="0"/>
              <w:keepLines w:val="0"/>
              <w:pageBreakBefore w:val="0"/>
              <w:widowControl w:val="0"/>
              <w:kinsoku/>
              <w:wordWrap/>
              <w:overflowPunct/>
              <w:topLinePunct w:val="0"/>
              <w:autoSpaceDE/>
              <w:autoSpaceDN/>
              <w:bidi w:val="0"/>
              <w:adjustRightInd/>
              <w:snapToGrid w:val="0"/>
              <w:spacing w:line="360" w:lineRule="exact"/>
              <w:contextualSpacing/>
              <w:jc w:val="left"/>
              <w:textAlignment w:val="auto"/>
              <w:rPr>
                <w:rFonts w:hint="default" w:cs="Times New Roman" w:asciiTheme="majorEastAsia" w:hAnsiTheme="majorEastAsia" w:eastAsiaTheme="minorEastAsia"/>
                <w:kern w:val="0"/>
                <w:sz w:val="21"/>
                <w:szCs w:val="21"/>
                <w:lang w:val="en-US" w:eastAsia="zh-CN"/>
              </w:rPr>
            </w:pPr>
            <w:r>
              <w:rPr>
                <w:rFonts w:hint="eastAsia" w:ascii="宋体" w:hAnsi="宋体" w:cs="宋体"/>
                <w:color w:val="000000"/>
                <w:sz w:val="21"/>
                <w:szCs w:val="21"/>
              </w:rPr>
              <w:t>★</w:t>
            </w:r>
            <w:r>
              <w:rPr>
                <w:rFonts w:ascii="宋体" w:hAnsi="宋体" w:cs="Calibri"/>
                <w:color w:val="000000"/>
                <w:sz w:val="21"/>
                <w:szCs w:val="21"/>
              </w:rPr>
              <w:t>参数1</w:t>
            </w:r>
            <w:r>
              <w:rPr>
                <w:rFonts w:hint="eastAsia" w:ascii="宋体" w:hAnsi="宋体" w:cs="Calibri"/>
                <w:color w:val="000000"/>
                <w:sz w:val="21"/>
                <w:szCs w:val="21"/>
                <w:lang w:val="en-US" w:eastAsia="zh-CN"/>
              </w:rPr>
              <w:t xml:space="preserve">  </w:t>
            </w:r>
            <w:r>
              <w:rPr>
                <w:rFonts w:hint="eastAsia" w:ascii="宋体" w:hAnsi="宋体" w:cs="Calibri"/>
                <w:color w:val="000000"/>
                <w:sz w:val="21"/>
                <w:szCs w:val="21"/>
              </w:rPr>
              <w:t>便携式插件监护仪、整机采用一体化设计，屏幕尺寸≥</w:t>
            </w:r>
            <w:r>
              <w:rPr>
                <w:rFonts w:ascii="宋体" w:hAnsi="宋体" w:cs="Calibri"/>
                <w:color w:val="000000"/>
                <w:sz w:val="21"/>
                <w:szCs w:val="21"/>
              </w:rPr>
              <w:t>12</w:t>
            </w:r>
            <w:r>
              <w:rPr>
                <w:rFonts w:hint="eastAsia" w:ascii="宋体" w:hAnsi="宋体" w:cs="Calibri"/>
                <w:color w:val="000000"/>
                <w:sz w:val="21"/>
                <w:szCs w:val="21"/>
              </w:rPr>
              <w:t>英寸，彩色</w:t>
            </w:r>
            <w:r>
              <w:rPr>
                <w:rFonts w:ascii="宋体" w:hAnsi="宋体" w:cs="Calibri"/>
                <w:color w:val="000000"/>
                <w:sz w:val="21"/>
                <w:szCs w:val="21"/>
              </w:rPr>
              <w:t>触摸屏</w:t>
            </w:r>
            <w:r>
              <w:rPr>
                <w:rFonts w:hint="eastAsia" w:ascii="宋体" w:hAnsi="宋体" w:cs="Calibri"/>
                <w:color w:val="000000"/>
                <w:sz w:val="21"/>
                <w:szCs w:val="21"/>
              </w:rPr>
              <w:t>，可同屏显示≥8通道</w:t>
            </w:r>
          </w:p>
        </w:tc>
        <w:tc>
          <w:tcPr>
            <w:tcW w:w="708" w:type="dxa"/>
            <w:vAlign w:val="center"/>
          </w:tcPr>
          <w:p>
            <w:pPr>
              <w:spacing w:line="44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keepNext w:val="0"/>
              <w:keepLines w:val="0"/>
              <w:pageBreakBefore w:val="0"/>
              <w:widowControl w:val="0"/>
              <w:kinsoku/>
              <w:wordWrap/>
              <w:overflowPunct/>
              <w:topLinePunct w:val="0"/>
              <w:autoSpaceDE/>
              <w:autoSpaceDN/>
              <w:bidi w:val="0"/>
              <w:adjustRightInd/>
              <w:snapToGrid w:val="0"/>
              <w:spacing w:line="360" w:lineRule="exact"/>
              <w:contextualSpacing/>
              <w:jc w:val="left"/>
              <w:textAlignment w:val="auto"/>
              <w:rPr>
                <w:rFonts w:hint="default" w:ascii="宋体" w:hAnsi="宋体" w:cs="宋体" w:eastAsiaTheme="minorEastAsia"/>
                <w:kern w:val="0"/>
                <w:sz w:val="21"/>
                <w:szCs w:val="21"/>
                <w:lang w:val="en-US" w:eastAsia="zh-CN"/>
              </w:rPr>
            </w:pPr>
            <w:r>
              <w:rPr>
                <w:rFonts w:hint="eastAsia" w:ascii="宋体" w:hAnsi="宋体" w:cs="宋体"/>
                <w:color w:val="000000"/>
                <w:sz w:val="21"/>
                <w:szCs w:val="21"/>
              </w:rPr>
              <w:t>★</w:t>
            </w:r>
            <w:r>
              <w:rPr>
                <w:rFonts w:ascii="宋体" w:hAnsi="宋体" w:cs="Calibri"/>
                <w:color w:val="000000"/>
                <w:sz w:val="21"/>
                <w:szCs w:val="21"/>
              </w:rPr>
              <w:t>参数2</w:t>
            </w:r>
            <w:r>
              <w:rPr>
                <w:rFonts w:hint="eastAsia" w:ascii="宋体" w:hAnsi="宋体" w:cs="Calibri"/>
                <w:color w:val="000000"/>
                <w:sz w:val="21"/>
                <w:szCs w:val="21"/>
                <w:lang w:val="en-US" w:eastAsia="zh-CN"/>
              </w:rPr>
              <w:t xml:space="preserve">  </w:t>
            </w:r>
            <w:r>
              <w:rPr>
                <w:rFonts w:ascii="宋体" w:hAnsi="宋体" w:cs="Calibri"/>
                <w:color w:val="000000"/>
                <w:sz w:val="21"/>
                <w:szCs w:val="21"/>
              </w:rPr>
              <w:t>标配可同时监测心电</w:t>
            </w:r>
            <w:r>
              <w:rPr>
                <w:rFonts w:hint="eastAsia" w:ascii="宋体" w:hAnsi="宋体" w:cs="Calibri"/>
                <w:color w:val="000000"/>
                <w:sz w:val="21"/>
                <w:szCs w:val="21"/>
              </w:rPr>
              <w:t>ECG</w:t>
            </w:r>
            <w:r>
              <w:rPr>
                <w:rFonts w:ascii="宋体" w:hAnsi="宋体" w:cs="Calibri"/>
                <w:color w:val="000000"/>
                <w:sz w:val="21"/>
                <w:szCs w:val="21"/>
              </w:rPr>
              <w:t>、呼吸、血氧饱和度、脉搏、无创血压、</w:t>
            </w:r>
            <w:r>
              <w:rPr>
                <w:rFonts w:hint="eastAsia" w:ascii="宋体" w:hAnsi="宋体" w:cs="Calibri"/>
                <w:color w:val="000000"/>
                <w:sz w:val="21"/>
                <w:szCs w:val="21"/>
              </w:rPr>
              <w:t>三有创血压监测、双温度</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keepNext w:val="0"/>
              <w:keepLines w:val="0"/>
              <w:pageBreakBefore w:val="0"/>
              <w:widowControl w:val="0"/>
              <w:kinsoku/>
              <w:wordWrap/>
              <w:overflowPunct/>
              <w:topLinePunct w:val="0"/>
              <w:autoSpaceDE/>
              <w:autoSpaceDN/>
              <w:bidi w:val="0"/>
              <w:adjustRightInd/>
              <w:snapToGrid w:val="0"/>
              <w:spacing w:line="360" w:lineRule="exact"/>
              <w:contextualSpacing/>
              <w:jc w:val="left"/>
              <w:textAlignment w:val="auto"/>
              <w:rPr>
                <w:rFonts w:hint="default" w:ascii="宋体" w:hAnsi="宋体" w:cs="宋体" w:eastAsiaTheme="minorEastAsia"/>
                <w:kern w:val="0"/>
                <w:sz w:val="21"/>
                <w:szCs w:val="21"/>
                <w:lang w:val="en-US" w:eastAsia="zh-CN"/>
              </w:rPr>
            </w:pPr>
            <w:r>
              <w:rPr>
                <w:rFonts w:hint="eastAsia" w:ascii="宋体" w:hAnsi="宋体" w:cs="宋体"/>
                <w:color w:val="000000"/>
                <w:sz w:val="21"/>
                <w:szCs w:val="21"/>
              </w:rPr>
              <w:t>★</w:t>
            </w:r>
            <w:r>
              <w:rPr>
                <w:rFonts w:ascii="宋体" w:hAnsi="宋体" w:cs="Calibri"/>
                <w:color w:val="000000"/>
                <w:sz w:val="21"/>
                <w:szCs w:val="21"/>
              </w:rPr>
              <w:t>参数3</w:t>
            </w:r>
            <w:r>
              <w:rPr>
                <w:rFonts w:hint="eastAsia" w:ascii="宋体" w:hAnsi="宋体" w:cs="Calibri"/>
                <w:color w:val="000000"/>
                <w:sz w:val="21"/>
                <w:szCs w:val="21"/>
                <w:lang w:val="en-US" w:eastAsia="zh-CN"/>
              </w:rPr>
              <w:t xml:space="preserve">  </w:t>
            </w:r>
            <w:r>
              <w:rPr>
                <w:rFonts w:hint="eastAsia" w:ascii="宋体" w:hAnsi="宋体" w:cs="Calibri"/>
                <w:color w:val="000000"/>
                <w:sz w:val="21"/>
                <w:szCs w:val="21"/>
              </w:rPr>
              <w:t>支持升级选配热稀释法心排量CO、连续心排量P</w:t>
            </w:r>
            <w:r>
              <w:rPr>
                <w:rFonts w:ascii="宋体" w:hAnsi="宋体" w:cs="Calibri"/>
                <w:color w:val="000000"/>
                <w:sz w:val="21"/>
                <w:szCs w:val="21"/>
              </w:rPr>
              <w:t>ICCO</w:t>
            </w:r>
            <w:r>
              <w:rPr>
                <w:rFonts w:hint="eastAsia" w:ascii="宋体" w:hAnsi="宋体" w:cs="Calibri"/>
                <w:color w:val="000000"/>
                <w:sz w:val="21"/>
                <w:szCs w:val="21"/>
              </w:rPr>
              <w:t>、呼气末二氧化碳等模块，即插即用</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keepNext w:val="0"/>
              <w:keepLines w:val="0"/>
              <w:pageBreakBefore w:val="0"/>
              <w:widowControl w:val="0"/>
              <w:kinsoku/>
              <w:wordWrap/>
              <w:overflowPunct/>
              <w:topLinePunct w:val="0"/>
              <w:autoSpaceDE/>
              <w:autoSpaceDN/>
              <w:bidi w:val="0"/>
              <w:adjustRightInd/>
              <w:snapToGrid w:val="0"/>
              <w:spacing w:line="360" w:lineRule="exact"/>
              <w:contextualSpacing/>
              <w:jc w:val="left"/>
              <w:textAlignment w:val="auto"/>
              <w:rPr>
                <w:rFonts w:hint="default" w:ascii="宋体" w:hAnsi="宋体" w:cs="宋体" w:eastAsiaTheme="minorEastAsia"/>
                <w:kern w:val="0"/>
                <w:sz w:val="21"/>
                <w:szCs w:val="21"/>
                <w:lang w:val="en-US" w:eastAsia="zh-CN"/>
              </w:rPr>
            </w:pPr>
            <w:r>
              <w:rPr>
                <w:rFonts w:hint="eastAsia" w:ascii="宋体" w:hAnsi="宋体" w:cs="Calibri"/>
                <w:color w:val="000000"/>
                <w:sz w:val="21"/>
                <w:szCs w:val="21"/>
              </w:rPr>
              <w:t>▲</w:t>
            </w:r>
            <w:r>
              <w:rPr>
                <w:rFonts w:ascii="宋体" w:hAnsi="宋体" w:cs="Calibri"/>
                <w:color w:val="000000"/>
                <w:sz w:val="21"/>
                <w:szCs w:val="21"/>
              </w:rPr>
              <w:t>参数4</w:t>
            </w:r>
            <w:r>
              <w:rPr>
                <w:rFonts w:hint="eastAsia" w:ascii="宋体" w:hAnsi="宋体" w:cs="Calibri"/>
                <w:color w:val="000000"/>
                <w:sz w:val="21"/>
                <w:szCs w:val="21"/>
                <w:lang w:val="en-US" w:eastAsia="zh-CN"/>
              </w:rPr>
              <w:t xml:space="preserve">  </w:t>
            </w:r>
            <w:r>
              <w:rPr>
                <w:rFonts w:hint="eastAsia" w:ascii="宋体" w:hAnsi="宋体" w:cs="Calibri"/>
                <w:color w:val="000000"/>
                <w:sz w:val="21"/>
                <w:szCs w:val="21"/>
              </w:rPr>
              <w:t>具有≥72小时趋势图表、≥48小时全息波形结果存储和回顾功能及ST/ST map回顾</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keepNext w:val="0"/>
              <w:keepLines w:val="0"/>
              <w:pageBreakBefore w:val="0"/>
              <w:widowControl w:val="0"/>
              <w:kinsoku/>
              <w:wordWrap/>
              <w:overflowPunct/>
              <w:topLinePunct w:val="0"/>
              <w:autoSpaceDE/>
              <w:autoSpaceDN/>
              <w:bidi w:val="0"/>
              <w:adjustRightInd/>
              <w:snapToGrid w:val="0"/>
              <w:spacing w:line="360" w:lineRule="exact"/>
              <w:contextualSpacing/>
              <w:jc w:val="left"/>
              <w:textAlignment w:val="auto"/>
              <w:rPr>
                <w:rFonts w:hint="default" w:ascii="宋体" w:hAnsi="宋体" w:cs="宋体" w:eastAsiaTheme="minorEastAsia"/>
                <w:kern w:val="0"/>
                <w:sz w:val="21"/>
                <w:szCs w:val="21"/>
                <w:lang w:val="en-US" w:eastAsia="zh-CN"/>
              </w:rPr>
            </w:pPr>
            <w:r>
              <w:rPr>
                <w:rFonts w:hint="eastAsia" w:ascii="宋体" w:hAnsi="宋体" w:cs="Calibri"/>
                <w:color w:val="000000"/>
                <w:sz w:val="21"/>
                <w:szCs w:val="21"/>
              </w:rPr>
              <w:t>▲</w:t>
            </w:r>
            <w:r>
              <w:rPr>
                <w:rFonts w:ascii="宋体" w:hAnsi="宋体" w:cs="Calibri"/>
                <w:color w:val="000000"/>
                <w:sz w:val="21"/>
                <w:szCs w:val="21"/>
              </w:rPr>
              <w:t>参数5</w:t>
            </w:r>
            <w:r>
              <w:rPr>
                <w:rFonts w:hint="eastAsia" w:ascii="宋体" w:hAnsi="宋体" w:cs="Calibri"/>
                <w:color w:val="000000"/>
                <w:sz w:val="21"/>
                <w:szCs w:val="21"/>
                <w:lang w:val="en-US" w:eastAsia="zh-CN"/>
              </w:rPr>
              <w:t xml:space="preserve">  </w:t>
            </w:r>
            <w:r>
              <w:rPr>
                <w:rFonts w:hint="eastAsia" w:ascii="宋体" w:hAnsi="宋体" w:cs="Calibri"/>
                <w:color w:val="000000"/>
                <w:sz w:val="21"/>
                <w:szCs w:val="21"/>
              </w:rPr>
              <w:t>主机带电池，可满足临时断电，监护室维持正常使用时间≥3小时</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keepNext w:val="0"/>
              <w:keepLines w:val="0"/>
              <w:pageBreakBefore w:val="0"/>
              <w:widowControl w:val="0"/>
              <w:kinsoku/>
              <w:wordWrap/>
              <w:overflowPunct/>
              <w:topLinePunct w:val="0"/>
              <w:autoSpaceDE/>
              <w:autoSpaceDN/>
              <w:bidi w:val="0"/>
              <w:adjustRightInd/>
              <w:snapToGrid w:val="0"/>
              <w:spacing w:line="360" w:lineRule="exact"/>
              <w:contextualSpacing/>
              <w:jc w:val="left"/>
              <w:textAlignment w:val="auto"/>
              <w:rPr>
                <w:rFonts w:hint="default" w:ascii="宋体" w:hAnsi="宋体" w:cs="宋体" w:eastAsiaTheme="minorEastAsia"/>
                <w:kern w:val="0"/>
                <w:sz w:val="21"/>
                <w:szCs w:val="21"/>
                <w:lang w:val="en-US" w:eastAsia="zh-CN"/>
              </w:rPr>
            </w:pPr>
            <w:r>
              <w:rPr>
                <w:rFonts w:hint="eastAsia" w:ascii="宋体" w:hAnsi="宋体" w:cs="Calibri"/>
                <w:color w:val="000000"/>
                <w:sz w:val="21"/>
                <w:szCs w:val="21"/>
              </w:rPr>
              <w:t>▲参数6</w:t>
            </w:r>
            <w:r>
              <w:rPr>
                <w:rFonts w:hint="eastAsia" w:ascii="宋体" w:hAnsi="宋体" w:cs="Calibri"/>
                <w:color w:val="000000"/>
                <w:sz w:val="21"/>
                <w:szCs w:val="21"/>
                <w:lang w:val="en-US" w:eastAsia="zh-CN"/>
              </w:rPr>
              <w:t xml:space="preserve">  </w:t>
            </w:r>
            <w:r>
              <w:rPr>
                <w:rFonts w:hint="eastAsia" w:ascii="宋体" w:hAnsi="宋体" w:cs="Calibri"/>
                <w:color w:val="000000"/>
                <w:sz w:val="21"/>
                <w:szCs w:val="21"/>
              </w:rPr>
              <w:t>支持升级床旁设备数据整合，实现现有中央站同步监护床旁监护数据</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keepNext w:val="0"/>
              <w:keepLines w:val="0"/>
              <w:pageBreakBefore w:val="0"/>
              <w:widowControl w:val="0"/>
              <w:kinsoku/>
              <w:wordWrap/>
              <w:overflowPunct/>
              <w:topLinePunct w:val="0"/>
              <w:autoSpaceDE/>
              <w:autoSpaceDN/>
              <w:bidi w:val="0"/>
              <w:adjustRightInd/>
              <w:snapToGrid w:val="0"/>
              <w:spacing w:line="360" w:lineRule="exact"/>
              <w:contextualSpacing/>
              <w:jc w:val="left"/>
              <w:textAlignment w:val="auto"/>
              <w:rPr>
                <w:rFonts w:hint="default" w:ascii="宋体" w:hAnsi="宋体" w:cs="宋体" w:eastAsiaTheme="minorEastAsia"/>
                <w:kern w:val="0"/>
                <w:sz w:val="21"/>
                <w:szCs w:val="21"/>
                <w:lang w:val="en-US" w:eastAsia="zh-CN"/>
              </w:rPr>
            </w:pPr>
            <w:r>
              <w:rPr>
                <w:rFonts w:hint="eastAsia" w:ascii="宋体" w:hAnsi="宋体" w:cs="Calibri"/>
                <w:color w:val="000000"/>
                <w:sz w:val="21"/>
                <w:szCs w:val="21"/>
              </w:rPr>
              <w:t>▲</w:t>
            </w:r>
            <w:r>
              <w:rPr>
                <w:rFonts w:ascii="宋体" w:hAnsi="宋体" w:cs="Calibri"/>
                <w:color w:val="000000"/>
                <w:sz w:val="21"/>
                <w:szCs w:val="21"/>
              </w:rPr>
              <w:t>参数</w:t>
            </w:r>
            <w:r>
              <w:rPr>
                <w:rFonts w:hint="eastAsia" w:ascii="宋体" w:hAnsi="宋体" w:cs="Calibri"/>
                <w:color w:val="000000"/>
                <w:sz w:val="21"/>
                <w:szCs w:val="21"/>
              </w:rPr>
              <w:t>7</w:t>
            </w:r>
            <w:r>
              <w:rPr>
                <w:rFonts w:hint="eastAsia" w:ascii="宋体" w:hAnsi="宋体" w:cs="Calibri"/>
                <w:color w:val="000000"/>
                <w:sz w:val="21"/>
                <w:szCs w:val="21"/>
                <w:lang w:val="en-US" w:eastAsia="zh-CN"/>
              </w:rPr>
              <w:t xml:space="preserve">  </w:t>
            </w:r>
            <w:r>
              <w:rPr>
                <w:rFonts w:hint="eastAsia" w:ascii="宋体" w:hAnsi="宋体" w:cs="Calibri"/>
                <w:color w:val="000000"/>
                <w:sz w:val="21"/>
                <w:szCs w:val="21"/>
              </w:rPr>
              <w:t>心率测量范围适用于小儿、成人、测量误差≤±1bpm或±1%</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keepNext w:val="0"/>
              <w:keepLines w:val="0"/>
              <w:pageBreakBefore w:val="0"/>
              <w:widowControl w:val="0"/>
              <w:kinsoku/>
              <w:wordWrap/>
              <w:overflowPunct/>
              <w:topLinePunct w:val="0"/>
              <w:autoSpaceDE/>
              <w:autoSpaceDN/>
              <w:bidi w:val="0"/>
              <w:adjustRightInd/>
              <w:snapToGrid w:val="0"/>
              <w:spacing w:line="360" w:lineRule="exact"/>
              <w:contextualSpacing/>
              <w:jc w:val="left"/>
              <w:textAlignment w:val="auto"/>
              <w:rPr>
                <w:rFonts w:hint="default" w:ascii="宋体" w:hAnsi="宋体" w:cs="宋体" w:eastAsiaTheme="minorEastAsia"/>
                <w:kern w:val="0"/>
                <w:sz w:val="21"/>
                <w:szCs w:val="21"/>
                <w:lang w:val="en-US" w:eastAsia="zh-CN"/>
              </w:rPr>
            </w:pPr>
            <w:r>
              <w:rPr>
                <w:rFonts w:ascii="宋体" w:hAnsi="宋体" w:cs="Calibri"/>
                <w:color w:val="000000"/>
                <w:sz w:val="21"/>
                <w:szCs w:val="21"/>
              </w:rPr>
              <w:t>参数</w:t>
            </w:r>
            <w:r>
              <w:rPr>
                <w:rFonts w:hint="eastAsia" w:ascii="宋体" w:hAnsi="宋体" w:cs="Calibri"/>
                <w:color w:val="000000"/>
                <w:sz w:val="21"/>
                <w:szCs w:val="21"/>
              </w:rPr>
              <w:t>8</w:t>
            </w:r>
            <w:r>
              <w:rPr>
                <w:rFonts w:hint="eastAsia" w:ascii="宋体" w:hAnsi="宋体" w:cs="Calibri"/>
                <w:color w:val="000000"/>
                <w:sz w:val="21"/>
                <w:szCs w:val="21"/>
                <w:lang w:val="en-US" w:eastAsia="zh-CN"/>
              </w:rPr>
              <w:t xml:space="preserve">  </w:t>
            </w:r>
            <w:r>
              <w:rPr>
                <w:rFonts w:ascii="宋体" w:hAnsi="宋体" w:cs="Calibri"/>
                <w:color w:val="000000"/>
                <w:sz w:val="21"/>
                <w:szCs w:val="21"/>
              </w:rPr>
              <w:t>无创血压</w:t>
            </w:r>
            <w:r>
              <w:rPr>
                <w:rFonts w:hint="eastAsia" w:ascii="宋体" w:hAnsi="宋体" w:cs="Calibri"/>
                <w:color w:val="000000"/>
                <w:sz w:val="21"/>
                <w:szCs w:val="21"/>
              </w:rPr>
              <w:t>具有手动、自动、连续、序列测量模式，适合成人、幼儿及新生儿、最大平均误差≤±8mmHg</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keepNext w:val="0"/>
              <w:keepLines w:val="0"/>
              <w:pageBreakBefore w:val="0"/>
              <w:widowControl w:val="0"/>
              <w:kinsoku/>
              <w:wordWrap/>
              <w:overflowPunct/>
              <w:topLinePunct w:val="0"/>
              <w:autoSpaceDE/>
              <w:autoSpaceDN/>
              <w:bidi w:val="0"/>
              <w:adjustRightInd/>
              <w:snapToGrid w:val="0"/>
              <w:spacing w:line="360" w:lineRule="exact"/>
              <w:contextualSpacing/>
              <w:jc w:val="left"/>
              <w:textAlignment w:val="auto"/>
              <w:rPr>
                <w:rFonts w:hint="default" w:ascii="宋体" w:hAnsi="宋体" w:cs="宋体" w:eastAsiaTheme="minorEastAsia"/>
                <w:kern w:val="0"/>
                <w:sz w:val="21"/>
                <w:szCs w:val="21"/>
                <w:lang w:val="en-US" w:eastAsia="zh-CN"/>
              </w:rPr>
            </w:pPr>
            <w:r>
              <w:rPr>
                <w:rFonts w:ascii="宋体" w:hAnsi="宋体" w:cs="Calibri"/>
                <w:sz w:val="21"/>
                <w:szCs w:val="21"/>
              </w:rPr>
              <w:t>参数</w:t>
            </w:r>
            <w:r>
              <w:rPr>
                <w:rFonts w:hint="eastAsia" w:ascii="宋体" w:hAnsi="宋体" w:cs="Calibri"/>
                <w:sz w:val="21"/>
                <w:szCs w:val="21"/>
              </w:rPr>
              <w:t>9</w:t>
            </w:r>
            <w:r>
              <w:rPr>
                <w:rFonts w:hint="eastAsia" w:ascii="宋体" w:hAnsi="宋体" w:cs="Calibri"/>
                <w:sz w:val="21"/>
                <w:szCs w:val="21"/>
                <w:lang w:val="en-US" w:eastAsia="zh-CN"/>
              </w:rPr>
              <w:t xml:space="preserve">  </w:t>
            </w:r>
            <w:r>
              <w:rPr>
                <w:rFonts w:hint="eastAsia" w:ascii="宋体" w:hAnsi="宋体" w:cs="微软雅黑"/>
                <w:bCs/>
                <w:color w:val="000000"/>
                <w:sz w:val="21"/>
                <w:szCs w:val="21"/>
              </w:rPr>
              <w:t>具有统计分析功能，可通过箭头、柱状图等，直观反映参数变化趋势</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keepNext w:val="0"/>
              <w:keepLines w:val="0"/>
              <w:pageBreakBefore w:val="0"/>
              <w:widowControl w:val="0"/>
              <w:kinsoku/>
              <w:wordWrap/>
              <w:overflowPunct/>
              <w:topLinePunct w:val="0"/>
              <w:autoSpaceDE/>
              <w:autoSpaceDN/>
              <w:bidi w:val="0"/>
              <w:adjustRightInd/>
              <w:snapToGrid w:val="0"/>
              <w:spacing w:line="360" w:lineRule="exact"/>
              <w:contextualSpacing/>
              <w:jc w:val="left"/>
              <w:textAlignment w:val="auto"/>
              <w:rPr>
                <w:rFonts w:hint="default" w:cs="Times New Roman" w:asciiTheme="majorEastAsia" w:hAnsiTheme="majorEastAsia" w:eastAsiaTheme="minorEastAsia"/>
                <w:kern w:val="0"/>
                <w:sz w:val="21"/>
                <w:szCs w:val="21"/>
                <w:lang w:val="en-US" w:eastAsia="zh-CN"/>
              </w:rPr>
            </w:pPr>
            <w:r>
              <w:rPr>
                <w:rFonts w:ascii="宋体" w:hAnsi="宋体" w:cs="Calibri"/>
                <w:sz w:val="21"/>
                <w:szCs w:val="21"/>
              </w:rPr>
              <w:t>参数</w:t>
            </w:r>
            <w:r>
              <w:rPr>
                <w:rFonts w:hint="eastAsia" w:ascii="宋体" w:hAnsi="宋体" w:cs="Calibri"/>
                <w:sz w:val="21"/>
                <w:szCs w:val="21"/>
              </w:rPr>
              <w:t>10</w:t>
            </w:r>
            <w:r>
              <w:rPr>
                <w:rFonts w:hint="eastAsia" w:ascii="宋体" w:hAnsi="宋体" w:cs="Calibri"/>
                <w:sz w:val="21"/>
                <w:szCs w:val="21"/>
                <w:lang w:val="en-US" w:eastAsia="zh-CN"/>
              </w:rPr>
              <w:t xml:space="preserve">  </w:t>
            </w:r>
            <w:r>
              <w:rPr>
                <w:rFonts w:hint="eastAsia" w:ascii="宋体" w:hAnsi="宋体" w:cs="Calibri"/>
                <w:sz w:val="21"/>
                <w:szCs w:val="21"/>
              </w:rPr>
              <w:t>可选带显示功能的基本参数测量模块，可实现双频双控双向显示波形和数值。用于病人转运，带电池功能，待机时间≥3小时，同监护仪主机即插即用</w:t>
            </w:r>
          </w:p>
        </w:tc>
        <w:tc>
          <w:tcPr>
            <w:tcW w:w="708" w:type="dxa"/>
            <w:vAlign w:val="center"/>
          </w:tcPr>
          <w:p>
            <w:pPr>
              <w:spacing w:line="44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零配件支持：提供零配件全国统一报价，更换配件价格不超过统一报价的70%。在满足招标文件要求的基础上，根据</w:t>
            </w:r>
            <w:r>
              <w:rPr>
                <w:rFonts w:hint="eastAsia" w:cs="Times New Roman" w:asciiTheme="minorEastAsia" w:hAnsiTheme="minorEastAsia" w:eastAsiaTheme="minorEastAsia"/>
                <w:b/>
                <w:kern w:val="0"/>
                <w:sz w:val="21"/>
                <w:szCs w:val="21"/>
                <w:u w:val="single"/>
              </w:rPr>
              <w:t>主要零配件价格</w:t>
            </w:r>
            <w:r>
              <w:rPr>
                <w:rFonts w:hint="eastAsia" w:cs="Times New Roman" w:asciiTheme="minorEastAsia" w:hAnsiTheme="minorEastAsia" w:eastAsiaTheme="minorEastAsia"/>
                <w:kern w:val="0"/>
                <w:sz w:val="21"/>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2.根据指定地点的服务网点数量排名，第一名得1分，依次按标准分值25%递减，最低得0分。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spacing w:line="440" w:lineRule="exact"/>
              <w:jc w:val="center"/>
              <w:rPr>
                <w:rFonts w:eastAsia="宋体" w:cs="Times New Roman" w:asciiTheme="minorEastAsia" w:hAnsiTheme="minorEastAsia"/>
                <w:kern w:val="0"/>
                <w:sz w:val="20"/>
                <w:szCs w:val="21"/>
              </w:rPr>
            </w:pPr>
          </w:p>
        </w:tc>
      </w:tr>
    </w:tbl>
    <w:p>
      <w:pPr>
        <w:adjustRightInd w:val="0"/>
        <w:snapToGrid w:val="0"/>
        <w:spacing w:line="440" w:lineRule="exact"/>
        <w:rPr>
          <w:rFonts w:ascii="宋体" w:hAnsi="宋体" w:eastAsia="宋体" w:cs="Times New Roman"/>
          <w:kern w:val="0"/>
          <w:sz w:val="28"/>
          <w:szCs w:val="28"/>
        </w:rPr>
      </w:pPr>
    </w:p>
    <w:p>
      <w:pPr>
        <w:widowControl/>
        <w:adjustRightInd w:val="0"/>
        <w:snapToGrid w:val="0"/>
        <w:spacing w:line="440" w:lineRule="exact"/>
        <w:ind w:firstLine="566" w:firstLineChars="245"/>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4.评审委员会评审程序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(2)资格性审查。依据法律、法规和招标文件的规定，对投标文件中的资格证明、投标保证金等进行审查，以确定投标人是否具备投标资格，具体审查项目见表1。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(3)符合性审查。依据招标文件的规定，从投标文件的有效性、完整性和对招标文件的响应程度进行审查，以确定投标人是否对招标文件做出实质性响应，具体审查项目见表1。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①开标时未宣读的投标价格、价格折扣和招标文件允许提供的备选投标方案等实质内容；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②投标文件中不响应招标文件规定的技术参数指标和商务应答；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③投标文件中未提供的证明其是否符合招标文件资格性、符合性规定要求的相关材料。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(6)商务、技术评审。按照招标文件中规定的评标方法和标准，对资格性审查和符合性审查合格的投标文件（不含价格文件）进行商务和技术评审。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(9)评审委员会依据经过复核的评审结果，对投标人进行排序并推荐预中标人。本项目只确认一家中标供应商。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①开标日期和地点；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②获取招标文件供应商名单、投标人名单和评审委员会成员名单；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③评标方法；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④开标记录和评标情况及说明，包括无效投标人名单及原因；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⑥评审委员会授标建议。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(1)密封时未加盖、少加盖单位公章或者密封章，但是密封完好、完整标明了投标供应商名称且得到投标供应商（法定代表人或者授权代表）现场认可的；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投标书、资格证明文件正副本数量齐全、密封完好，只是未按照招标文件要求进行分装、统装的；价格文件内容完整、单独密封，只是未按招标文件要求胶装成册的</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(3)存在个别地方（总数不超过2个且占应签字地方的比例不超过20%）没有法定代表人签字，但有法定代表人的私人印章或者授权代表有效签字的；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(4)除招标文件明确要求加盖供应商（法人）公章的以外，其他地方以相关专用章加盖的。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6.在商务评审过程中，有下列情形之一者，其投标将被否决：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(1)投标人或其制造商与招标人有利害关系可能影响招标公正性的；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(2)投标人参与项目前期咨询或招标文件编制的；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(3)不同投标人单位负责人为同一人或者存在控股、管理关系的；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(4)投标文件未按招标文件的要求签署的；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(5)投标人的投标书、资格证明材料未提供，或不符合国家规定或者招标文件要求的；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(6)同一投标人提交两个以上不同的投标方案或者投标报价的，但招标文件要求提交备选方案的除外；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(7)投标文件不满足招标文件加注星号（“★”）的关键商务条款要求的；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(8)投标人有串通投标、弄虚作假、行贿等违法行为的；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(9)存在招标文件中规定的否决投标的其他商务条款的。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7.技术评审过程中，有下列情形之一者，其投标将被否决：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(1)投标文件不满足招标文件技术要求中加注星号（“★”）的关键条款（参数）要求，或加注星号（“★”）的关键条款（参数）无符合招标文件要求的技术资料支持的；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(2)投标文件技术规格中一般参数超出允许偏离的最大范围或最多项数的；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(3)投标文件技术规格中的响应与事实不符或虚假投标的；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(4)投标人复制招标文件的技术规格相关部分内容作为其投标文件中一部分的；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(5)存在招标文件中规定的否决投标的其他技术条款的。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8.投标人及其投标文件有下列情形之一的，在符合性审查时按照无效投标处理：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(1)未按照招标文件规定要求密封、签署、盖章的（前述第5条情形除外）；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(2)投标文件组成明显不符合招标文件的规定要求，影响评审委员会评判的；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(3)投标有效期不符合招标文件要求的；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(4)其他未满足对投标文件有效性、完整性和对招标文件响应程度要求的情形。</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9.投标人及其投标文件有下列情形之一的，在资格性审查时按照无效投标处理：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(1)不具备招标文件中规定的资格性要求的；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(2)法定代表人授权不符合要求的；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(3)属于禁止参加投标的供应商的；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(4)不符合法律、法规、规章规定的资格性要求的；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(5)供应商授权代理人参加我院采购活动，致使该供应商受到处罚期间，该代理人代理其他供应商参加我院采购活动的；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(6)代理人同期（180天以内）代理2家以上供应商参加我院采购活动的。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10.有下列情形之一的，属于投标人相互串通投标，评审委员会应当对串标人按照无效投标处理：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(1)投标人之间协商投标报价等投标文件的实质性内容的；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(2)投标人之间约定中标人的；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(3)投标人之间约定部分投标人放弃投标或者中标的；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(4)属于同一集团、协会、商会等组织成员的投标人按照该组织要求协同投标的；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(5)投标人之间为谋取中标或者排斥特定投标人而采取其他联合行动的。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11.有下列情形之一的，视为投标人相互串通投标，评审委员会应当对串标人按照无效投标处理：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(1)不同投标人的投标文件由同一单位或者个人编制的；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(2)不同投标人委托同一单位或者个人办理投标事宜的；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(3)不同投标人的投标文件载明的项目管理成员为同一人的；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(4)不同投标人的投标文件异常一致或者投标报价呈规律性差异的；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(5)不同投标人的投标文件相互混装的；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12.有下列情形之一的，属于招标人与投标人串通投标，评审委员会应当对串标投标人按照无效投标处理：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(1)招标人在开标前开启投标文件并将有关信息泄露给其他投标人的；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(2)招标人直接或者间接向投标人泄露采购预算、评审委员会成员等信息的；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(3)招标人明示或者暗示投标人压低或者抬高投标报价的；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(4)招标人授意投标人撤换、修改投标文件的；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(5)招标人明示或者暗示投标人为特定投标人中标提供方便的；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(6)招标人与投标人为谋求特定投标人中标而采取其他串通行为的。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13.有下列情形之一的，属于虚假投标，评审委员会应当对投标人按照无效投标处理：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(1)使用通过受让或者租借等方式获取资格、资质证书投标的；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(2)使用伪造、变造的许可证件的；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(3)提供虚假的财务状况或者业绩的；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(4)提供虚假的项目负责人或者主要技术人员简历、劳动关系证明的；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(5)提供虚假信用状况的；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(6)提供虚假样品或借用、冒用其他供应商样品的；</w:t>
      </w: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其他弄虚作假行为的。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14.有下列情形之一的，按照废标处理：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(1)出现影响采购公平公正的违法、违规行为的；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(2)因重大变故，取消采购任务的。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15.开标后对下列情况，招标人以及评审委员会按照《军队物资采购评审管理办法》相关规定处理。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(1)经评审满足招标文件要求的投标供应商只有2家的，评审委员会应当分析原因。评审委员会（五分之四以上评委）认定投标人报价客观合理的，应当在评标报告中注明，</w:t>
      </w:r>
      <w:r>
        <w:rPr>
          <w:rFonts w:hint="eastAsia" w:ascii="宋体" w:hAnsi="宋体" w:eastAsia="宋体" w:cs="Times New Roman"/>
          <w:kern w:val="0"/>
          <w:sz w:val="24"/>
          <w:szCs w:val="24"/>
        </w:rPr>
        <w:t>采购机构报采购管理部门审批同意后，可直接比照竞争性谈判方式</w:t>
      </w:r>
      <w:r>
        <w:rPr>
          <w:rFonts w:hint="eastAsia" w:cs="Times New Roman" w:asciiTheme="minorEastAsia" w:hAnsiTheme="minorEastAsia"/>
          <w:kern w:val="0"/>
          <w:sz w:val="24"/>
          <w:szCs w:val="24"/>
        </w:rPr>
        <w:t>，按照至少2轮谈判、供应商3次报价程序，采用原评审方法及评审标准组织评审。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(6)同一需求部门（单位）同一经费来源的同类物资，部分产品单价或者金额超采购预算，但中标总金额未超采购预算的，不视为需求部门（单位）不能支付。</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16.经评审委员会评审，认为所有投标都不符合招标文件要求的，评审委员会将否决所有投标，招标人有权重新组织招标。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质疑与投诉</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（二）质疑由我院物资采购中心受理，投诉由我院采购领导小组办公室受理。供应商投诉事项应当是经过质疑的事项，未质疑的事项，投诉不予受理。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（三）招标人</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处理</w:t>
      </w:r>
      <w:r>
        <w:rPr>
          <w:rFonts w:cs="Times New Roman" w:asciiTheme="minorEastAsia" w:hAnsiTheme="minorEastAsia"/>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w:t>
      </w:r>
      <w:r>
        <w:rPr>
          <w:rFonts w:hint="eastAsia" w:cs="Times New Roman" w:asciiTheme="minorEastAsia" w:hAnsiTheme="minorEastAsia"/>
          <w:kern w:val="0"/>
          <w:sz w:val="24"/>
          <w:szCs w:val="24"/>
          <w:u w:val="single"/>
          <w:lang w:eastAsia="zh-CN"/>
        </w:rPr>
        <w:t>谭</w:t>
      </w:r>
      <w:r>
        <w:rPr>
          <w:rFonts w:hint="eastAsia" w:cs="Times New Roman" w:asciiTheme="minorEastAsia" w:hAnsiTheme="minorEastAsia"/>
          <w:kern w:val="0"/>
          <w:sz w:val="24"/>
          <w:szCs w:val="24"/>
          <w:u w:val="single"/>
        </w:rPr>
        <w:t xml:space="preserve">老师             </w:t>
      </w:r>
    </w:p>
    <w:p>
      <w:pPr>
        <w:adjustRightInd w:val="0"/>
        <w:snapToGrid w:val="0"/>
        <w:spacing w:line="440" w:lineRule="exact"/>
        <w:ind w:firstLine="462" w:firstLineChars="200"/>
        <w:rPr>
          <w:rFonts w:hint="eastAsia" w:cs="Times New Roman" w:asciiTheme="minorEastAsia" w:hAnsiTheme="minorEastAsia"/>
          <w:kern w:val="0"/>
          <w:sz w:val="24"/>
          <w:szCs w:val="24"/>
          <w:u w:val="single"/>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023-68766148</w:t>
      </w:r>
      <w:r>
        <w:rPr>
          <w:rFonts w:hint="eastAsia" w:cs="Times New Roman" w:asciiTheme="minorEastAsia" w:hAnsiTheme="minorEastAsia"/>
          <w:kern w:val="0"/>
          <w:sz w:val="24"/>
          <w:szCs w:val="24"/>
          <w:u w:val="single"/>
          <w:lang w:val="en-US" w:eastAsia="zh-CN"/>
        </w:rPr>
        <w:t>/68766153</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（四）供应商认为招标文件存在限制性、倾向性、排他性条款，使自己权益受到损害的，可以在投标截止时间10日前向物资采购中心提出书面质疑和相关证明材料。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（五）供应商</w:t>
      </w:r>
      <w:r>
        <w:rPr>
          <w:rFonts w:cs="Times New Roman" w:asciiTheme="minorEastAsia" w:hAnsiTheme="minorEastAsia"/>
          <w:kern w:val="0"/>
          <w:sz w:val="24"/>
          <w:szCs w:val="24"/>
        </w:rPr>
        <w:t>认为下列事项使自己权益受到损害的，</w:t>
      </w:r>
      <w:r>
        <w:rPr>
          <w:rFonts w:hint="eastAsia" w:cs="Times New Roman" w:asciiTheme="minorEastAsia" w:hAnsiTheme="minorEastAsia"/>
          <w:kern w:val="0"/>
          <w:sz w:val="24"/>
          <w:szCs w:val="24"/>
        </w:rPr>
        <w:t>可以</w:t>
      </w:r>
      <w:r>
        <w:rPr>
          <w:rFonts w:cs="Times New Roman" w:asciiTheme="minorEastAsia" w:hAnsiTheme="minorEastAsia"/>
          <w:kern w:val="0"/>
          <w:sz w:val="24"/>
          <w:szCs w:val="24"/>
        </w:rPr>
        <w:t>在评审结果公示期内，向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提出书面质疑</w:t>
      </w:r>
      <w:r>
        <w:rPr>
          <w:rFonts w:hint="eastAsia" w:cs="Times New Roman" w:asciiTheme="minorEastAsia" w:hAnsiTheme="minorEastAsia"/>
          <w:kern w:val="0"/>
          <w:sz w:val="24"/>
          <w:szCs w:val="24"/>
        </w:rPr>
        <w:t>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w:t>
      </w:r>
      <w:r>
        <w:rPr>
          <w:rFonts w:cs="Times New Roman" w:asciiTheme="minorEastAsia" w:hAnsiTheme="minorEastAsia"/>
          <w:kern w:val="0"/>
          <w:sz w:val="24"/>
          <w:szCs w:val="24"/>
        </w:rPr>
        <w:t>或者相关人员与供应商有利害关系，应当回避而没有回避的；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采购程序违反军队采购相关规定的；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w:t>
      </w:r>
      <w:r>
        <w:rPr>
          <w:rFonts w:cs="Times New Roman" w:asciiTheme="minorEastAsia" w:hAnsiTheme="minorEastAsia"/>
          <w:kern w:val="0"/>
          <w:sz w:val="24"/>
          <w:szCs w:val="24"/>
        </w:rPr>
        <w:t>之间</w:t>
      </w:r>
      <w:r>
        <w:rPr>
          <w:rFonts w:hint="eastAsia" w:cs="Times New Roman" w:asciiTheme="minorEastAsia" w:hAnsiTheme="minorEastAsia"/>
          <w:kern w:val="0"/>
          <w:sz w:val="24"/>
          <w:szCs w:val="24"/>
        </w:rPr>
        <w:t>或者招标人与投标人之间</w:t>
      </w:r>
      <w:r>
        <w:rPr>
          <w:rFonts w:cs="Times New Roman" w:asciiTheme="minorEastAsia" w:hAnsiTheme="minorEastAsia"/>
          <w:kern w:val="0"/>
          <w:sz w:val="24"/>
          <w:szCs w:val="24"/>
        </w:rPr>
        <w:t>存在串通行为的；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提供虚假资料</w:t>
      </w:r>
      <w:r>
        <w:rPr>
          <w:rFonts w:hint="eastAsia" w:cs="Times New Roman" w:asciiTheme="minorEastAsia" w:hAnsiTheme="minorEastAsia"/>
          <w:kern w:val="0"/>
          <w:sz w:val="24"/>
          <w:szCs w:val="24"/>
        </w:rPr>
        <w:t>骗取中标</w:t>
      </w:r>
      <w:r>
        <w:rPr>
          <w:rFonts w:cs="Times New Roman" w:asciiTheme="minorEastAsia" w:hAnsiTheme="minorEastAsia"/>
          <w:kern w:val="0"/>
          <w:sz w:val="24"/>
          <w:szCs w:val="24"/>
        </w:rPr>
        <w:t>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违反采购相关法律法规使自己权益受到损害的其他事项。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书面质疑</w:t>
      </w:r>
      <w:r>
        <w:rPr>
          <w:rFonts w:hint="eastAsia" w:cs="Times New Roman" w:asciiTheme="minorEastAsia" w:hAnsiTheme="minorEastAsia"/>
          <w:kern w:val="0"/>
          <w:sz w:val="24"/>
          <w:szCs w:val="24"/>
        </w:rPr>
        <w:t>应</w:t>
      </w:r>
      <w:r>
        <w:rPr>
          <w:rFonts w:cs="Times New Roman" w:asciiTheme="minorEastAsia" w:hAnsiTheme="minorEastAsia"/>
          <w:kern w:val="0"/>
          <w:sz w:val="24"/>
          <w:szCs w:val="24"/>
        </w:rPr>
        <w:t>由法定代表人签字</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加盖单位公章，同时出具法定代表人资格证明书</w:t>
      </w:r>
      <w:r>
        <w:rPr>
          <w:rFonts w:hint="eastAsia" w:cs="Times New Roman" w:asciiTheme="minorEastAsia" w:hAnsiTheme="minorEastAsia"/>
          <w:kern w:val="0"/>
          <w:sz w:val="24"/>
          <w:szCs w:val="24"/>
        </w:rPr>
        <w:t>。</w:t>
      </w:r>
      <w:r>
        <w:rPr>
          <w:rFonts w:cs="Times New Roman" w:asciiTheme="minorEastAsia" w:hAnsiTheme="minorEastAsia"/>
          <w:kern w:val="0"/>
          <w:sz w:val="24"/>
          <w:szCs w:val="24"/>
        </w:rPr>
        <w:t>由</w:t>
      </w:r>
      <w:r>
        <w:rPr>
          <w:rFonts w:hint="eastAsia" w:cs="Times New Roman" w:asciiTheme="minorEastAsia" w:hAnsiTheme="minorEastAsia"/>
          <w:kern w:val="0"/>
          <w:sz w:val="24"/>
          <w:szCs w:val="24"/>
        </w:rPr>
        <w:t>全权代表</w:t>
      </w:r>
      <w:r>
        <w:rPr>
          <w:rFonts w:cs="Times New Roman" w:asciiTheme="minorEastAsia" w:hAnsiTheme="minorEastAsia"/>
          <w:kern w:val="0"/>
          <w:sz w:val="24"/>
          <w:szCs w:val="24"/>
        </w:rPr>
        <w:t>签字的，必须有法定代表人授权</w:t>
      </w:r>
      <w:r>
        <w:rPr>
          <w:rFonts w:hint="eastAsia" w:cs="Times New Roman" w:asciiTheme="minorEastAsia" w:hAnsiTheme="minorEastAsia"/>
          <w:kern w:val="0"/>
          <w:sz w:val="24"/>
          <w:szCs w:val="24"/>
        </w:rPr>
        <w:t>书和</w:t>
      </w:r>
      <w:r>
        <w:rPr>
          <w:rFonts w:cs="Times New Roman" w:asciiTheme="minorEastAsia" w:hAnsiTheme="minorEastAsia"/>
          <w:kern w:val="0"/>
          <w:sz w:val="24"/>
          <w:szCs w:val="24"/>
        </w:rPr>
        <w:t>法定代表人资格证明书</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w:t>
      </w:r>
      <w:r>
        <w:rPr>
          <w:rFonts w:hint="eastAsia" w:cs="Times New Roman" w:asciiTheme="minorEastAsia" w:hAnsiTheme="minorEastAsia"/>
          <w:kern w:val="0"/>
          <w:sz w:val="24"/>
          <w:szCs w:val="24"/>
        </w:rPr>
        <w:t>。书面</w:t>
      </w:r>
      <w:r>
        <w:rPr>
          <w:rFonts w:cs="Times New Roman" w:asciiTheme="minorEastAsia" w:hAnsiTheme="minorEastAsia"/>
          <w:kern w:val="0"/>
          <w:sz w:val="24"/>
          <w:szCs w:val="24"/>
        </w:rPr>
        <w:t>质疑主要包括下列内容：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1.质疑的采购项目名称和项目编号；</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人</w:t>
      </w:r>
      <w:r>
        <w:rPr>
          <w:rFonts w:cs="Times New Roman" w:asciiTheme="minorEastAsia" w:hAnsiTheme="minorEastAsia"/>
          <w:kern w:val="0"/>
          <w:sz w:val="24"/>
          <w:szCs w:val="24"/>
        </w:rPr>
        <w:t>和被质疑人的名称，质疑人的地址、联系方式等；</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具体的质疑事项、事实依据及相关证明材料；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提起质疑的日期。</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w:t>
      </w:r>
      <w:r>
        <w:rPr>
          <w:rFonts w:cs="Times New Roman" w:asciiTheme="minorEastAsia" w:hAnsiTheme="minorEastAsia"/>
          <w:kern w:val="0"/>
          <w:sz w:val="24"/>
          <w:szCs w:val="24"/>
        </w:rPr>
        <w:t>质疑有以下情形之一的，不予受理：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1.未按规定程序和渠道提出质疑的；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超</w:t>
      </w:r>
      <w:r>
        <w:rPr>
          <w:rFonts w:hint="eastAsia" w:cs="Times New Roman" w:asciiTheme="minorEastAsia" w:hAnsiTheme="minorEastAsia"/>
          <w:kern w:val="0"/>
          <w:sz w:val="24"/>
          <w:szCs w:val="24"/>
        </w:rPr>
        <w:t>过</w:t>
      </w:r>
      <w:r>
        <w:rPr>
          <w:rFonts w:cs="Times New Roman" w:asciiTheme="minorEastAsia" w:hAnsiTheme="minorEastAsia"/>
          <w:kern w:val="0"/>
          <w:sz w:val="24"/>
          <w:szCs w:val="24"/>
        </w:rPr>
        <w:t>质疑限期</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3.书面</w:t>
      </w:r>
      <w:r>
        <w:rPr>
          <w:rFonts w:cs="Times New Roman" w:asciiTheme="minorEastAsia" w:hAnsiTheme="minorEastAsia"/>
          <w:kern w:val="0"/>
          <w:sz w:val="24"/>
          <w:szCs w:val="24"/>
        </w:rPr>
        <w:t>质疑的形式和内容不符合</w:t>
      </w:r>
      <w:r>
        <w:rPr>
          <w:rFonts w:hint="eastAsia" w:cs="Times New Roman" w:asciiTheme="minorEastAsia" w:hAnsiTheme="minorEastAsia"/>
          <w:kern w:val="0"/>
          <w:sz w:val="24"/>
          <w:szCs w:val="24"/>
        </w:rPr>
        <w:t>上述要求的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提出的质疑事项已经明确答复的；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法律法规规定的其他不予受理的条件。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（八）物资采购中心</w:t>
      </w:r>
      <w:r>
        <w:rPr>
          <w:rFonts w:cs="Times New Roman" w:asciiTheme="minorEastAsia" w:hAnsiTheme="minorEastAsia"/>
          <w:kern w:val="0"/>
          <w:sz w:val="24"/>
          <w:szCs w:val="24"/>
        </w:rPr>
        <w:t>应当自质疑签收之日起</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个工作日内做出书面答复。答复内容同时通知与处理结果有关的供应商，但答复内容不得涉及供应商的商业秘密。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在作出书面答复之前，可以采取现场解答的方式向</w:t>
      </w:r>
      <w:r>
        <w:rPr>
          <w:rFonts w:hint="eastAsia" w:cs="Times New Roman" w:asciiTheme="minorEastAsia" w:hAnsiTheme="minorEastAsia"/>
          <w:kern w:val="0"/>
          <w:sz w:val="24"/>
          <w:szCs w:val="24"/>
        </w:rPr>
        <w:t>质疑人</w:t>
      </w:r>
      <w:r>
        <w:rPr>
          <w:rFonts w:cs="Times New Roman" w:asciiTheme="minorEastAsia" w:hAnsiTheme="minorEastAsia"/>
          <w:kern w:val="0"/>
          <w:sz w:val="24"/>
          <w:szCs w:val="24"/>
        </w:rPr>
        <w:t>通报初步处理结果。供应商认可处理结果的，可在出具书面申请后撤回质疑或者放弃质疑，</w:t>
      </w:r>
      <w:r>
        <w:rPr>
          <w:rFonts w:hint="eastAsia" w:cs="Times New Roman" w:asciiTheme="minorEastAsia" w:hAnsiTheme="minorEastAsia"/>
          <w:kern w:val="0"/>
          <w:sz w:val="24"/>
          <w:szCs w:val="24"/>
        </w:rPr>
        <w:t>质疑处理机构</w:t>
      </w:r>
      <w:r>
        <w:rPr>
          <w:rFonts w:cs="Times New Roman" w:asciiTheme="minorEastAsia" w:hAnsiTheme="minorEastAsia"/>
          <w:kern w:val="0"/>
          <w:sz w:val="24"/>
          <w:szCs w:val="24"/>
        </w:rPr>
        <w:t>不再进行书面答复。</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（九）供应商</w:t>
      </w:r>
      <w:r>
        <w:rPr>
          <w:rFonts w:cs="Times New Roman" w:asciiTheme="minorEastAsia" w:hAnsiTheme="minorEastAsia"/>
          <w:kern w:val="0"/>
          <w:sz w:val="24"/>
          <w:szCs w:val="24"/>
        </w:rPr>
        <w:t>质疑有下列情形之一的，视为无效质疑，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应当驳回质疑：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无具体的质疑事项，或者质疑事项缺乏事实和法律依据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质疑内容涉及评审工作细节、其他供应商</w:t>
      </w:r>
      <w:r>
        <w:rPr>
          <w:rFonts w:hint="eastAsia" w:cs="Times New Roman" w:asciiTheme="minorEastAsia" w:hAnsiTheme="minorEastAsia"/>
          <w:kern w:val="0"/>
          <w:sz w:val="24"/>
          <w:szCs w:val="24"/>
        </w:rPr>
        <w:t>投标</w:t>
      </w:r>
      <w:r>
        <w:rPr>
          <w:rFonts w:cs="Times New Roman" w:asciiTheme="minorEastAsia" w:hAnsiTheme="minorEastAsia"/>
          <w:kern w:val="0"/>
          <w:sz w:val="24"/>
          <w:szCs w:val="24"/>
        </w:rPr>
        <w:t>资料等保密事项且无法提供信息的合法来源</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质疑已经处理并明确答复后，质疑人就同一事项再次提起质疑且未提供新的有效证据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应当对供应商无效质疑情况记录存档</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（十）供应商</w:t>
      </w:r>
      <w:r>
        <w:rPr>
          <w:rFonts w:cs="Times New Roman" w:asciiTheme="minorEastAsia" w:hAnsiTheme="minorEastAsia"/>
          <w:kern w:val="0"/>
          <w:sz w:val="24"/>
          <w:szCs w:val="24"/>
        </w:rPr>
        <w:t>进行虚假和恶意质疑，干扰</w:t>
      </w:r>
      <w:r>
        <w:rPr>
          <w:rFonts w:hint="eastAsia" w:cs="Times New Roman" w:asciiTheme="minorEastAsia" w:hAnsiTheme="minorEastAsia"/>
          <w:kern w:val="0"/>
          <w:sz w:val="24"/>
          <w:szCs w:val="24"/>
        </w:rPr>
        <w:t>我院</w:t>
      </w:r>
      <w:r>
        <w:rPr>
          <w:rFonts w:cs="Times New Roman" w:asciiTheme="minorEastAsia" w:hAnsiTheme="minorEastAsia"/>
          <w:kern w:val="0"/>
          <w:sz w:val="24"/>
          <w:szCs w:val="24"/>
        </w:rPr>
        <w:t>采购活动的，</w:t>
      </w:r>
      <w:r>
        <w:rPr>
          <w:rFonts w:hint="eastAsia" w:cs="Times New Roman" w:asciiTheme="minorEastAsia" w:hAnsiTheme="minorEastAsia"/>
          <w:kern w:val="0"/>
          <w:sz w:val="24"/>
          <w:szCs w:val="24"/>
        </w:rPr>
        <w:t>物资采购中心可以申请上级采购管理部门作出处罚。</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p>
    <w:p>
      <w:pPr>
        <w:adjustRightInd w:val="0"/>
        <w:snapToGrid w:val="0"/>
        <w:spacing w:line="440" w:lineRule="exact"/>
        <w:ind w:firstLine="462" w:firstLineChars="200"/>
        <w:rPr>
          <w:rFonts w:cs="Times New Roman" w:asciiTheme="minorEastAsia" w:hAnsiTheme="minorEastAsia"/>
          <w:snapToGrid w:val="0"/>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七、定标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确定</w:t>
      </w:r>
      <w:r>
        <w:rPr>
          <w:rFonts w:hint="eastAsia" w:cs="Times New Roman" w:asciiTheme="minorEastAsia" w:hAnsiTheme="minorEastAsia"/>
          <w:kern w:val="0"/>
          <w:sz w:val="24"/>
          <w:szCs w:val="24"/>
        </w:rPr>
        <w:t>中标人</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1.评审结束后3个工作日内，招标人根据评审委员会提出的书面评标报告，在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2.招标人有权根据采购任务变更等实际情况调整中标数量。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（二）中标</w:t>
      </w:r>
      <w:r>
        <w:rPr>
          <w:rFonts w:cs="Times New Roman" w:asciiTheme="minorEastAsia" w:hAnsiTheme="minorEastAsia"/>
          <w:kern w:val="0"/>
          <w:sz w:val="24"/>
          <w:szCs w:val="24"/>
        </w:rPr>
        <w:t>通知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1.招标人在确定中标人后3个工作日内，以书面形式向中标人发出《中标通知书》。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2.《中标通知书》是签订合同草案的依据。若合同草案未获批准，招标人有权取消合同草案。</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中标</w:t>
      </w:r>
      <w:r>
        <w:rPr>
          <w:rFonts w:cs="Times New Roman" w:asciiTheme="minorEastAsia" w:hAnsiTheme="minorEastAsia"/>
          <w:kern w:val="0"/>
          <w:sz w:val="24"/>
          <w:szCs w:val="24"/>
        </w:rPr>
        <w:t>通知书》</w:t>
      </w:r>
      <w:r>
        <w:rPr>
          <w:rFonts w:hint="eastAsia" w:cs="Times New Roman" w:asciiTheme="minorEastAsia" w:hAnsiTheme="minorEastAsia"/>
          <w:kern w:val="0"/>
          <w:sz w:val="24"/>
          <w:szCs w:val="24"/>
        </w:rPr>
        <w:t>及签订的合同草案不能作为中标人启动生产或备货的依据，应待正式合同签订后再启动生产备货，否则，由此造成的后果由中标人自行承担。</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八、签订</w:t>
      </w:r>
      <w:r>
        <w:rPr>
          <w:rFonts w:cs="Times New Roman" w:asciiTheme="minorEastAsia" w:hAnsiTheme="minorEastAsia"/>
          <w:kern w:val="0"/>
          <w:sz w:val="24"/>
          <w:szCs w:val="24"/>
        </w:rPr>
        <w:t>合同</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中标人在招标人发出《中标通知书》之日起，按照招标人规定的时间、地点签订合同。未经招标人同意逾期不签订合同的，将取消中标人中标资格。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（二）招标文件、中标人的投标文件、补充投标文件、澄清承诺、说明、补正和《中标通知书》等，均为签订合同的依据。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（三）中标人应当按照合同约定履行义务，完成中标项目。中标人不得向他人转让中标项目，也不得将中标项目分包向他人转让或委托加工。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九、</w:t>
      </w:r>
      <w:r>
        <w:rPr>
          <w:rFonts w:cs="Times New Roman" w:asciiTheme="minorEastAsia" w:hAnsiTheme="minorEastAsia"/>
          <w:kern w:val="0"/>
          <w:sz w:val="24"/>
          <w:szCs w:val="24"/>
        </w:rPr>
        <w:t>产品</w:t>
      </w:r>
      <w:r>
        <w:rPr>
          <w:rFonts w:hint="eastAsia" w:cs="Times New Roman" w:asciiTheme="minorEastAsia" w:hAnsiTheme="minorEastAsia"/>
          <w:kern w:val="0"/>
          <w:sz w:val="24"/>
          <w:szCs w:val="24"/>
        </w:rPr>
        <w:t>质量</w:t>
      </w:r>
      <w:r>
        <w:rPr>
          <w:rFonts w:cs="Times New Roman" w:asciiTheme="minorEastAsia" w:hAnsiTheme="minorEastAsia"/>
          <w:kern w:val="0"/>
          <w:sz w:val="24"/>
          <w:szCs w:val="24"/>
        </w:rPr>
        <w:t>检验验收</w:t>
      </w:r>
    </w:p>
    <w:p>
      <w:pPr>
        <w:adjustRightInd w:val="0"/>
        <w:snapToGrid w:val="0"/>
        <w:spacing w:line="440" w:lineRule="exact"/>
        <w:ind w:firstLine="462" w:firstLineChars="200"/>
        <w:rPr>
          <w:rFonts w:cs="宋体" w:asciiTheme="minorEastAsia" w:hAnsiTheme="minorEastAsia"/>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产品质量验收由合同甲方或者其指定（委托）的质检机构组织实施，中标人应予以积极配合。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w:t>
      </w:r>
      <w:r>
        <w:rPr>
          <w:rFonts w:hint="eastAsia" w:ascii="方正仿宋_GBK" w:hAnsi="宋体" w:eastAsia="方正仿宋_GBK" w:cs="Times New Roman"/>
          <w:sz w:val="24"/>
          <w:szCs w:val="24"/>
        </w:rPr>
        <w:t xml:space="preserve"> </w:t>
      </w:r>
      <w:r>
        <w:rPr>
          <w:rFonts w:hint="eastAsia" w:cs="Times New Roman" w:asciiTheme="minorEastAsia" w:hAnsiTheme="minorEastAsia"/>
          <w:kern w:val="0"/>
          <w:sz w:val="24"/>
          <w:szCs w:val="24"/>
        </w:rPr>
        <w:t>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招标文件、投标文件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中标人应将所提供货物的装箱清单、配件、随机工具、用户使用手册、维修手册、原厂保修卡等资料交付给合同甲方。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十、</w:t>
      </w:r>
      <w:r>
        <w:rPr>
          <w:rFonts w:cs="Times New Roman" w:asciiTheme="minorEastAsia" w:hAnsiTheme="minorEastAsia"/>
          <w:kern w:val="0"/>
          <w:sz w:val="24"/>
          <w:szCs w:val="24"/>
        </w:rPr>
        <w:t>解释权限</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sectPr>
          <w:headerReference r:id="rId7" w:type="default"/>
          <w:pgSz w:w="11906" w:h="16838"/>
          <w:pgMar w:top="2098" w:right="1474" w:bottom="1985" w:left="1588" w:header="851" w:footer="992" w:gutter="0"/>
          <w:cols w:space="425" w:num="1"/>
          <w:docGrid w:type="linesAndChars" w:linePitch="579" w:charSpace="-1844"/>
        </w:sectPr>
      </w:pPr>
      <w:r>
        <w:rPr>
          <w:rFonts w:cs="Times New Roman" w:asciiTheme="minorEastAsia" w:hAnsiTheme="minorEastAsia"/>
          <w:kern w:val="0"/>
          <w:sz w:val="24"/>
          <w:szCs w:val="24"/>
        </w:rPr>
        <w:t>本</w:t>
      </w:r>
      <w:r>
        <w:rPr>
          <w:rFonts w:hint="eastAsia" w:cs="Times New Roman" w:asciiTheme="minorEastAsia" w:hAnsiTheme="minorEastAsia"/>
          <w:kern w:val="0"/>
          <w:sz w:val="24"/>
          <w:szCs w:val="24"/>
        </w:rPr>
        <w:t>招标</w:t>
      </w:r>
      <w:r>
        <w:rPr>
          <w:rFonts w:cs="Times New Roman" w:asciiTheme="minorEastAsia" w:hAnsiTheme="minorEastAsia"/>
          <w:kern w:val="0"/>
          <w:sz w:val="24"/>
          <w:szCs w:val="24"/>
        </w:rPr>
        <w:t>文件由</w:t>
      </w:r>
      <w:r>
        <w:rPr>
          <w:rFonts w:hint="eastAsia" w:cs="Times New Roman" w:asciiTheme="minorEastAsia" w:hAnsiTheme="minorEastAsia"/>
          <w:kern w:val="0"/>
          <w:sz w:val="24"/>
          <w:szCs w:val="24"/>
        </w:rPr>
        <w:t>招标人</w:t>
      </w:r>
      <w:r>
        <w:rPr>
          <w:rFonts w:cs="Times New Roman" w:asciiTheme="minorEastAsia" w:hAnsiTheme="minorEastAsia"/>
          <w:kern w:val="0"/>
          <w:sz w:val="24"/>
          <w:szCs w:val="24"/>
        </w:rPr>
        <w:t>负责解释。</w:t>
      </w:r>
    </w:p>
    <w:p>
      <w:pPr>
        <w:jc w:val="center"/>
        <w:outlineLvl w:val="0"/>
        <w:rPr>
          <w:rFonts w:ascii="黑体" w:hAnsi="黑体" w:eastAsia="黑体" w:cs="Times New Roman"/>
          <w:bCs/>
          <w:kern w:val="0"/>
          <w:sz w:val="32"/>
          <w:szCs w:val="32"/>
        </w:rPr>
      </w:pPr>
      <w:bookmarkStart w:id="14" w:name="_Toc435540981"/>
      <w:bookmarkStart w:id="15" w:name="_Toc390713969"/>
      <w:bookmarkStart w:id="16" w:name="_Toc285612603"/>
      <w:bookmarkStart w:id="17" w:name="_Toc37172690"/>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ascii="Times New Roman" w:hAnsi="Times New Roman" w:eastAsia="宋体" w:cs="Times New Roman"/>
        </w:rPr>
        <w:t xml:space="preserve">  </w:t>
      </w: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投标书或投标文件承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投标书或投标文件承诺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）投标文件和评审现场承诺，本合同不另附。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黑体" w:hAnsi="Times New Roman" w:eastAsia="黑体" w:cs="Times New Roman"/>
          <w:sz w:val="28"/>
          <w:szCs w:val="28"/>
        </w:rPr>
      </w:pPr>
    </w:p>
    <w:p>
      <w:pPr>
        <w:widowControl/>
        <w:jc w:val="left"/>
        <w:rPr>
          <w:rFonts w:ascii="黑体" w:hAnsi="Times New Roman" w:eastAsia="黑体" w:cs="Times New Roman"/>
          <w:sz w:val="28"/>
          <w:szCs w:val="28"/>
        </w:rPr>
      </w:pPr>
      <w:r>
        <w:rPr>
          <w:rFonts w:ascii="黑体" w:hAnsi="Times New Roman" w:eastAsia="黑体" w:cs="Times New Roman"/>
          <w:sz w:val="28"/>
          <w:szCs w:val="28"/>
        </w:rPr>
        <w:br w:type="page"/>
      </w: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440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4"/>
        <w:gridCol w:w="2888"/>
        <w:gridCol w:w="2563"/>
        <w:gridCol w:w="1996"/>
        <w:gridCol w:w="1526"/>
        <w:gridCol w:w="822"/>
        <w:gridCol w:w="24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投标产品技术指标参数</w:t>
      </w:r>
    </w:p>
    <w:tbl>
      <w:tblPr>
        <w:tblStyle w:val="17"/>
        <w:tblW w:w="473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1"/>
        <w:gridCol w:w="5341"/>
        <w:gridCol w:w="76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8" w:name="_Toc240432233"/>
      <w:bookmarkStart w:id="19" w:name="_Toc435540982"/>
      <w:bookmarkStart w:id="20" w:name="_Toc390713970"/>
      <w:bookmarkStart w:id="21" w:name="_Toc285612604"/>
      <w:bookmarkStart w:id="22" w:name="_Toc37172691"/>
      <w:r>
        <w:rPr>
          <w:rFonts w:hint="eastAsia" w:ascii="黑体" w:hAnsi="黑体" w:eastAsia="黑体" w:cs="Times New Roman"/>
          <w:kern w:val="0"/>
          <w:sz w:val="32"/>
          <w:szCs w:val="32"/>
        </w:rPr>
        <w:t>第五部分  附件/投标文件格式</w:t>
      </w:r>
      <w:bookmarkEnd w:id="18"/>
      <w:bookmarkEnd w:id="19"/>
      <w:bookmarkEnd w:id="20"/>
      <w:bookmarkEnd w:id="21"/>
      <w:bookmarkEnd w:id="22"/>
    </w:p>
    <w:p>
      <w:pPr>
        <w:rPr>
          <w:rFonts w:cs="Times New Roman" w:asciiTheme="majorEastAsia" w:hAnsiTheme="majorEastAsia" w:eastAsiaTheme="majorEastAsia"/>
          <w:kern w:val="0"/>
          <w:sz w:val="30"/>
          <w:szCs w:val="30"/>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附件1：开标一览表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附件3：投标函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附件11：投标人售后服务承诺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附件13：近3年中标成交案例及同类项目案例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附件22：生产企业对代理公司投标授权书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开标一览表</w:t>
      </w:r>
    </w:p>
    <w:p>
      <w:pPr>
        <w:rPr>
          <w:rFonts w:ascii="Times New Roman" w:hAnsi="Times New Roman" w:eastAsia="宋体" w:cs="Times New Roman"/>
          <w:kern w:val="0"/>
          <w:sz w:val="28"/>
          <w:szCs w:val="28"/>
        </w:rPr>
      </w:pPr>
    </w:p>
    <w:p>
      <w:pPr>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项目编号：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b/>
          <w:kern w:val="0"/>
          <w:sz w:val="24"/>
          <w:szCs w:val="24"/>
        </w:rPr>
        <w:t>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bCs/>
                <w:spacing w:val="-4"/>
                <w:kern w:val="0"/>
                <w:sz w:val="24"/>
                <w:szCs w:val="24"/>
              </w:rPr>
              <w:t>投标总价（人民币大写）：</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hint="eastAsia" w:ascii="Times New Roman" w:hAnsi="Times New Roman" w:eastAsia="宋体" w:cs="Times New Roman"/>
          <w:kern w:val="0"/>
          <w:sz w:val="24"/>
          <w:szCs w:val="24"/>
        </w:rPr>
        <w:t>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r>
        <w:rPr>
          <w:rFonts w:hint="eastAsia" w:ascii="宋体" w:hAnsi="宋体" w:eastAsia="宋体" w:cs="Times New Roman"/>
          <w:kern w:val="0"/>
          <w:sz w:val="24"/>
          <w:szCs w:val="24"/>
        </w:rPr>
        <w:t>。</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宋体" w:hAnsi="宋体" w:eastAsia="宋体" w:cs="Times New Roman"/>
          <w:color w:val="0000FF"/>
          <w:kern w:val="0"/>
          <w:sz w:val="24"/>
          <w:szCs w:val="24"/>
        </w:rPr>
      </w:pPr>
    </w:p>
    <w:p>
      <w:pPr>
        <w:rPr>
          <w:rFonts w:ascii="黑体" w:hAnsi="黑体" w:eastAsia="黑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tabs>
          <w:tab w:val="left" w:pos="1215"/>
        </w:tabs>
        <w:jc w:val="left"/>
        <w:rPr>
          <w:rFonts w:ascii="宋体" w:hAnsi="宋体" w:eastAsia="宋体" w:cs="Times New Roman"/>
          <w:kern w:val="0"/>
          <w:sz w:val="24"/>
          <w:szCs w:val="24"/>
        </w:rPr>
      </w:pPr>
      <w:r>
        <w:rPr>
          <w:rFonts w:ascii="宋体" w:hAnsi="宋体" w:eastAsia="宋体" w:cs="Times New Roman"/>
          <w:kern w:val="0"/>
          <w:sz w:val="24"/>
          <w:szCs w:val="24"/>
        </w:rPr>
        <w:tab/>
      </w: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宋体" w:hAnsi="宋体" w:eastAsia="宋体" w:cs="Times New Roman"/>
          <w:kern w:val="0"/>
          <w:sz w:val="24"/>
          <w:szCs w:val="24"/>
        </w:rPr>
      </w:pPr>
      <w:r>
        <w:rPr>
          <w:rFonts w:ascii="宋体" w:hAnsi="宋体" w:eastAsia="宋体" w:cs="Times New Roman"/>
          <w:kern w:val="0"/>
          <w:sz w:val="24"/>
          <w:szCs w:val="24"/>
        </w:rPr>
        <w:t xml:space="preserve">          </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bookmarkStart w:id="23" w:name="_Toc285612606"/>
      <w:r>
        <w:rPr>
          <w:rFonts w:hint="eastAsia" w:ascii="黑体" w:hAnsi="黑体" w:eastAsia="黑体" w:cs="Times New Roman"/>
          <w:kern w:val="0"/>
          <w:sz w:val="32"/>
          <w:szCs w:val="32"/>
        </w:rPr>
        <w:t>附件3</w:t>
      </w:r>
    </w:p>
    <w:p>
      <w:pPr>
        <w:adjustRightInd w:val="0"/>
        <w:snapToGrid w:val="0"/>
        <w:spacing w:line="440" w:lineRule="exact"/>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  标  函</w:t>
      </w:r>
    </w:p>
    <w:p>
      <w:pPr>
        <w:adjustRightInd w:val="0"/>
        <w:snapToGrid w:val="0"/>
        <w:spacing w:line="440" w:lineRule="exact"/>
        <w:rPr>
          <w:rFonts w:ascii="Times New Roman" w:hAnsi="Times New Roman" w:eastAsia="宋体" w:cs="Times New Roman"/>
          <w:kern w:val="0"/>
          <w:sz w:val="28"/>
          <w:szCs w:val="28"/>
        </w:rPr>
      </w:pPr>
    </w:p>
    <w:p>
      <w:pPr>
        <w:adjustRightInd w:val="0"/>
        <w:snapToGrid w:val="0"/>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招标采购活动，并对</w:t>
      </w:r>
      <w:r>
        <w:rPr>
          <w:rFonts w:hint="eastAsia" w:cs="Times New Roman" w:asciiTheme="minorEastAsia" w:hAnsiTheme="minorEastAsia"/>
          <w:kern w:val="0"/>
          <w:sz w:val="28"/>
          <w:szCs w:val="28"/>
          <w:u w:val="single"/>
        </w:rPr>
        <w:t xml:space="preserve">   （货物名称）  </w:t>
      </w:r>
      <w:r>
        <w:rPr>
          <w:rFonts w:hint="eastAsia" w:cs="Times New Roman" w:asciiTheme="minorEastAsia" w:hAnsiTheme="minorEastAsia"/>
          <w:kern w:val="0"/>
          <w:sz w:val="28"/>
          <w:szCs w:val="28"/>
        </w:rPr>
        <w:t>进行投标。</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一、按照招标文件规定递交投标文件正本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份和副本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份。其中，《价格文件》1份单独密封提交。</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二、我方已完全理解招标文件的全部内容，自愿接受并执行招标文件的全部条款。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三、本投标文件有效期自开标之日起180日内有效。</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四、我方在参与投标前已仔细研究了招标文件和所有相关资料，同意招标文件的相关条款。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五、我方声明投标文件及所提供的一切资料均真实有效。由于我方提供资料不实而造成的责任和后果由我方承担。我方同意按照贵部要求，提供与招标有关数据或信息。</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六、我方承诺自愿遵守、执行国家、军队相关采购管理法规制度及政策规定。</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adjustRightInd w:val="0"/>
        <w:snapToGrid w:val="0"/>
        <w:spacing w:line="440" w:lineRule="exact"/>
        <w:ind w:firstLine="1328" w:firstLineChars="490"/>
        <w:rPr>
          <w:rFonts w:cs="Times New Roman" w:asciiTheme="minorEastAsia" w:hAnsiTheme="minorEastAsia"/>
          <w:kern w:val="0"/>
          <w:sz w:val="28"/>
          <w:szCs w:val="28"/>
        </w:rPr>
      </w:pPr>
    </w:p>
    <w:p>
      <w:pPr>
        <w:adjustRightInd w:val="0"/>
        <w:snapToGrid w:val="0"/>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adjustRightInd w:val="0"/>
        <w:snapToGrid w:val="0"/>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adjustRightInd w:val="0"/>
        <w:snapToGrid w:val="0"/>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bookmarkEnd w:id="23"/>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货物简要说明一览表</w:t>
      </w:r>
    </w:p>
    <w:p>
      <w:pPr>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项目名称：                           项目编号：                         </w:t>
      </w:r>
    </w:p>
    <w:tbl>
      <w:tblPr>
        <w:tblStyle w:val="17"/>
        <w:tblW w:w="5000" w:type="pct"/>
        <w:jc w:val="center"/>
        <w:tblLayout w:type="autofit"/>
        <w:tblCellMar>
          <w:top w:w="0" w:type="dxa"/>
          <w:left w:w="0" w:type="dxa"/>
          <w:bottom w:w="0" w:type="dxa"/>
          <w:right w:w="0" w:type="dxa"/>
        </w:tblCellMar>
      </w:tblPr>
      <w:tblGrid>
        <w:gridCol w:w="648"/>
        <w:gridCol w:w="1924"/>
        <w:gridCol w:w="1276"/>
        <w:gridCol w:w="992"/>
        <w:gridCol w:w="850"/>
        <w:gridCol w:w="1871"/>
        <w:gridCol w:w="1323"/>
      </w:tblGrid>
      <w:tr>
        <w:tblPrEx>
          <w:tblCellMar>
            <w:top w:w="0" w:type="dxa"/>
            <w:left w:w="0" w:type="dxa"/>
            <w:bottom w:w="0" w:type="dxa"/>
            <w:right w:w="0" w:type="dxa"/>
          </w:tblCellMar>
        </w:tblPrEx>
        <w:trPr>
          <w:trHeight w:val="851" w:hRule="exact"/>
          <w:jc w:val="center"/>
        </w:trPr>
        <w:tc>
          <w:tcPr>
            <w:tcW w:w="648"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276"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992"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85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871"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rPr>
          <w:rFonts w:cs="Times New Roman" w:asciiTheme="minorEastAsia" w:hAnsiTheme="minorEastAsia"/>
          <w:kern w:val="0"/>
          <w:sz w:val="24"/>
          <w:szCs w:val="24"/>
          <w:lang w:val="zh-CN"/>
        </w:rPr>
      </w:pPr>
    </w:p>
    <w:p>
      <w:pPr>
        <w:rPr>
          <w:rFonts w:cs="Times New Roman" w:asciiTheme="minorEastAsia" w:hAnsiTheme="minorEastAsia"/>
          <w:kern w:val="0"/>
          <w:sz w:val="24"/>
          <w:szCs w:val="24"/>
          <w:lang w:val="zh-CN"/>
        </w:rPr>
      </w:pPr>
    </w:p>
    <w:p>
      <w:pPr>
        <w:ind w:firstLine="2024" w:firstLineChars="747"/>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right="539" w:firstLine="1992" w:firstLineChars="735"/>
        <w:rPr>
          <w:rFonts w:cs="Times New Roman" w:asciiTheme="minorEastAsia" w:hAnsiTheme="minorEastAsia"/>
          <w:kern w:val="0"/>
          <w:sz w:val="28"/>
          <w:szCs w:val="28"/>
        </w:rPr>
      </w:pPr>
      <w:r>
        <w:rPr>
          <w:rFonts w:hint="eastAsia" w:cs="宋体" w:asciiTheme="minorEastAsia" w:hAnsiTheme="minorEastAsia"/>
          <w:kern w:val="0"/>
          <w:sz w:val="28"/>
          <w:szCs w:val="28"/>
          <w:lang w:val="zh-CN"/>
        </w:rPr>
        <w:t>法定代表人（或授权代表）：（签字或盖章）</w:t>
      </w:r>
    </w:p>
    <w:p>
      <w:pPr>
        <w:widowControl/>
        <w:ind w:firstLine="3453" w:firstLineChars="1274"/>
        <w:jc w:val="left"/>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39"/>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投标人应对照招标文件技术要求，逐条如实填写所投产品的具体指标参数，注明无偏离、正偏离或负偏离，并在备注中注明偏离的具体内容。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技术指标参数响应栏如果原文复制招标文件技术要求，可能会被视为无效投标。</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招标文件条目号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招标文件商务条款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投标文件商务条款响应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商务条款主要包括报价要求、售后服务、专利权和保密要求、交货时间、地点与方式、付款及结算方式等。如有遗漏，请投标人按照招标文件正文自行补充完整。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投标文件商务条款响应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请投标人认真填写本表内容，如填写错误将可能导致投标无效。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投标人售后服务承诺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投标人对照商务评审表中售后服务评审项自行编制，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本《招标文件》“第二部分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r>
        <w:rPr>
          <w:rFonts w:hint="eastAsia" w:ascii="Times New Roman" w:hAnsi="Times New Roman" w:eastAsia="宋体" w:cs="Times New Roman"/>
          <w:snapToGrid w:val="0"/>
          <w:kern w:val="0"/>
          <w:sz w:val="32"/>
          <w:szCs w:val="32"/>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生产厂家全称：（盖章）</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近3年中标成交案例及同类项目案例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840"/>
        <w:gridCol w:w="977"/>
        <w:gridCol w:w="1819"/>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备注：1.同类项目指本次招标的产品或同类产品。合同有效金额是指合同中本次招标的产品或同类产品金额。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2.投标人应附销售合同复印件，按合同有效金额由高到低顺序装订，包括：合同首尾页、签字盖章页、合同金额页、产品信息页。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3.投标人提供虚假合同的，按虚假投标处理。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ind w:firstLine="2423" w:firstLineChars="894"/>
        <w:rPr>
          <w:rFonts w:cs="宋体" w:asciiTheme="minorEastAsia" w:hAnsiTheme="minorEastAsia"/>
          <w:kern w:val="0"/>
          <w:sz w:val="28"/>
          <w:szCs w:val="28"/>
          <w:lang w:val="zh-CN"/>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44"/>
          <w:szCs w:val="44"/>
        </w:rPr>
      </w:pPr>
      <w:r>
        <w:rPr>
          <w:rFonts w:hint="eastAsia" w:ascii="黑体" w:hAnsi="黑体" w:eastAsia="黑体" w:cs="Times New Roman"/>
          <w:kern w:val="0"/>
          <w:sz w:val="32"/>
          <w:szCs w:val="32"/>
        </w:rPr>
        <w:t>商务评审表</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（投标人全称）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72576" behindDoc="0" locked="0" layoutInCell="1" allowOverlap="1">
                <wp:simplePos x="0" y="0"/>
                <wp:positionH relativeFrom="column">
                  <wp:posOffset>2881630</wp:posOffset>
                </wp:positionH>
                <wp:positionV relativeFrom="paragraph">
                  <wp:posOffset>131445</wp:posOffset>
                </wp:positionV>
                <wp:extent cx="2655570" cy="1319530"/>
                <wp:effectExtent l="4445" t="4445" r="6985" b="1714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72576;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HNamg1wAAAAoBAAAPAAAAAAAAAAEAIAAAACIAAABkcnMvZG93&#10;bnJldi54bWxQSwECFAAUAAAACACHTuJAcq2tyToCAABiBAAADgAAAAAAAAABACAAAAAmAQAAZHJz&#10;L2Uyb0RvYy54bWxQSwUGAAAAAAYABgBZAQAA0g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71552" behindDoc="0" locked="0" layoutInCell="1" allowOverlap="1">
                <wp:simplePos x="0" y="0"/>
                <wp:positionH relativeFrom="column">
                  <wp:posOffset>26670</wp:posOffset>
                </wp:positionH>
                <wp:positionV relativeFrom="paragraph">
                  <wp:posOffset>131445</wp:posOffset>
                </wp:positionV>
                <wp:extent cx="2623820" cy="1319530"/>
                <wp:effectExtent l="4445" t="4445" r="8255" b="1714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71552;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gRBMNUAAAAIAQAADwAAAAAAAAABACAAAAAiAAAAZHJzL2Rvd25y&#10;ZXYueG1sUEsBAhQAFAAAAAgAh07iQPDkAvA6AgAAYgQAAA4AAAAAAAAAAQAgAAAAJAEAAGRycy9l&#10;Mm9Eb2MueG1sUEsFBgAAAAAGAAYAWQEAANA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（投标人全称）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75648" behindDoc="0" locked="0" layoutInCell="1" allowOverlap="1">
                <wp:simplePos x="0" y="0"/>
                <wp:positionH relativeFrom="column">
                  <wp:posOffset>2898775</wp:posOffset>
                </wp:positionH>
                <wp:positionV relativeFrom="paragraph">
                  <wp:posOffset>180975</wp:posOffset>
                </wp:positionV>
                <wp:extent cx="2679065" cy="1345565"/>
                <wp:effectExtent l="4445" t="4445" r="13970" b="635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75648;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aFnwY1wAAAAoBAAAPAAAAAAAAAAEAIAAAACIAAABkcnMvZG93&#10;bnJldi54bWxQSwECFAAUAAAACACHTuJAZD0cWjoCAABiBAAADgAAAAAAAAABACAAAAAmAQAAZHJz&#10;L2Uyb0RvYy54bWxQSwUGAAAAAAYABgBZAQAA0g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74624" behindDoc="0" locked="0" layoutInCell="1" allowOverlap="1">
                <wp:simplePos x="0" y="0"/>
                <wp:positionH relativeFrom="column">
                  <wp:posOffset>17780</wp:posOffset>
                </wp:positionH>
                <wp:positionV relativeFrom="paragraph">
                  <wp:posOffset>198120</wp:posOffset>
                </wp:positionV>
                <wp:extent cx="2687320" cy="1328420"/>
                <wp:effectExtent l="4445" t="4445" r="5715" b="825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74624;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ksOnb1AAAAAgBAAAPAAAAAAAAAAEAIAAAACIAAABkcnMvZG93bnJldi54&#10;bWxQSwECFAAUAAAACACHTuJAOimFIDcCAABiBAAADgAAAAAAAAABACAAAAAjAQAAZHJzL2Uyb0Rv&#10;Yy54bWxQSwUGAAAAAAYABgBZAQAAzA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我方承诺，以上信息真实可靠；如填报的股东出资额、出资比例等与实际不符，视为放弃中标资格。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3.投标人应按照占全部股份比例从大到小依次逐个股东填写，股东数量多于10个的，填写前10名，不足10个的全部填写。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四、招标文件以及相关技术文件专室放置、专盘存储、专人管理。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五、未经招标人审查批准，不得擅自在互联网、通讯媒体等发表涉及此次采购项目相关内容或资讯。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违反上述承诺，愿承担一切法律责任，接受军队采购管理部门和招标人按国家和军队规定作出的相关处罚。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根据国家、军队相关法律法规以及有关廉洁自律的规定，为保证招标采购活动廉洁、公正和有效，我方郑重承诺：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如违反上述承诺，贵院有权取消我方的投标资格，由此引起的一切损失由我单位自行承担。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生产企业对代理公司投标授权书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1、授权书的格式不限。</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2、进口产品需提供原厂对中国总代的中英文授权，并提供中国总代至各级授权书。</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3、生产厂家直接投标的不需此文件。</w:t>
      </w:r>
    </w:p>
    <w:sectPr>
      <w:headerReference r:id="rId12" w:type="default"/>
      <w:pgSz w:w="11906" w:h="16838"/>
      <w:pgMar w:top="2098" w:right="1474" w:bottom="1985" w:left="1588" w:header="851" w:footer="992"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30</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33</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招标文件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02C2E"/>
    <w:rsid w:val="00002FA2"/>
    <w:rsid w:val="00004634"/>
    <w:rsid w:val="0000573F"/>
    <w:rsid w:val="00013467"/>
    <w:rsid w:val="0001562D"/>
    <w:rsid w:val="000158F6"/>
    <w:rsid w:val="00016044"/>
    <w:rsid w:val="000160A3"/>
    <w:rsid w:val="00021B72"/>
    <w:rsid w:val="000251D9"/>
    <w:rsid w:val="00025F6C"/>
    <w:rsid w:val="00026C64"/>
    <w:rsid w:val="00030F28"/>
    <w:rsid w:val="000347B9"/>
    <w:rsid w:val="00034E63"/>
    <w:rsid w:val="00041450"/>
    <w:rsid w:val="00042DCC"/>
    <w:rsid w:val="0004687A"/>
    <w:rsid w:val="00050482"/>
    <w:rsid w:val="00054AFA"/>
    <w:rsid w:val="0005519E"/>
    <w:rsid w:val="0005539D"/>
    <w:rsid w:val="0005654B"/>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6CE0"/>
    <w:rsid w:val="000A77FA"/>
    <w:rsid w:val="000B0A52"/>
    <w:rsid w:val="000B1714"/>
    <w:rsid w:val="000B1F30"/>
    <w:rsid w:val="000B4FE3"/>
    <w:rsid w:val="000D1724"/>
    <w:rsid w:val="000D4E07"/>
    <w:rsid w:val="000E0A9C"/>
    <w:rsid w:val="000E203F"/>
    <w:rsid w:val="000E2378"/>
    <w:rsid w:val="000E441D"/>
    <w:rsid w:val="000F19EE"/>
    <w:rsid w:val="000F241F"/>
    <w:rsid w:val="000F6B44"/>
    <w:rsid w:val="000F6D0D"/>
    <w:rsid w:val="000F7F74"/>
    <w:rsid w:val="00100C14"/>
    <w:rsid w:val="00104F9C"/>
    <w:rsid w:val="00112AB8"/>
    <w:rsid w:val="00117521"/>
    <w:rsid w:val="0011792C"/>
    <w:rsid w:val="001179D2"/>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20C5"/>
    <w:rsid w:val="001C4128"/>
    <w:rsid w:val="001C7DE1"/>
    <w:rsid w:val="001D04C7"/>
    <w:rsid w:val="001D3A1B"/>
    <w:rsid w:val="001D51BC"/>
    <w:rsid w:val="001D70FA"/>
    <w:rsid w:val="001E193A"/>
    <w:rsid w:val="001E3944"/>
    <w:rsid w:val="001E3BC8"/>
    <w:rsid w:val="001E3D72"/>
    <w:rsid w:val="001F3830"/>
    <w:rsid w:val="001F49DF"/>
    <w:rsid w:val="001F602A"/>
    <w:rsid w:val="001F665F"/>
    <w:rsid w:val="00200C01"/>
    <w:rsid w:val="00214820"/>
    <w:rsid w:val="00217B83"/>
    <w:rsid w:val="00220449"/>
    <w:rsid w:val="00220BEB"/>
    <w:rsid w:val="00222099"/>
    <w:rsid w:val="002246D0"/>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02BCC"/>
    <w:rsid w:val="00310302"/>
    <w:rsid w:val="00312142"/>
    <w:rsid w:val="00314ADF"/>
    <w:rsid w:val="00317B20"/>
    <w:rsid w:val="00320702"/>
    <w:rsid w:val="0032757D"/>
    <w:rsid w:val="0032766C"/>
    <w:rsid w:val="003276E6"/>
    <w:rsid w:val="00333901"/>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C6E11"/>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184A"/>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3ED"/>
    <w:rsid w:val="00564779"/>
    <w:rsid w:val="00564DF4"/>
    <w:rsid w:val="0056691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1F5D"/>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5626"/>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0845"/>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C22E2"/>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6547"/>
    <w:rsid w:val="009474B3"/>
    <w:rsid w:val="009478E9"/>
    <w:rsid w:val="009538C7"/>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0656E"/>
    <w:rsid w:val="00A11831"/>
    <w:rsid w:val="00A11DC2"/>
    <w:rsid w:val="00A1300A"/>
    <w:rsid w:val="00A1323F"/>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87620"/>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6F74"/>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16D32"/>
    <w:rsid w:val="00B20AA0"/>
    <w:rsid w:val="00B24395"/>
    <w:rsid w:val="00B2575B"/>
    <w:rsid w:val="00B25CCF"/>
    <w:rsid w:val="00B312BF"/>
    <w:rsid w:val="00B33EB7"/>
    <w:rsid w:val="00B3565C"/>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A4AA0"/>
    <w:rsid w:val="00DB0D05"/>
    <w:rsid w:val="00DB1953"/>
    <w:rsid w:val="00DB3B93"/>
    <w:rsid w:val="00DB5A86"/>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33EA"/>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1444"/>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 w:val="07940B4A"/>
    <w:rsid w:val="09820D8F"/>
    <w:rsid w:val="16C359C9"/>
    <w:rsid w:val="1D1D420F"/>
    <w:rsid w:val="2B0A3E2A"/>
    <w:rsid w:val="32C34A7A"/>
    <w:rsid w:val="342E79D1"/>
    <w:rsid w:val="374B7BE7"/>
    <w:rsid w:val="44380AE7"/>
    <w:rsid w:val="46F05983"/>
    <w:rsid w:val="4F404A6A"/>
    <w:rsid w:val="64975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toc 2"/>
    <w:basedOn w:val="1"/>
    <w:next w:val="1"/>
    <w:unhideWhenUsed/>
    <w:qFormat/>
    <w:uiPriority w:val="39"/>
    <w:pPr>
      <w:ind w:left="420" w:leftChars="200"/>
    </w:pPr>
  </w:style>
  <w:style w:type="paragraph" w:styleId="15">
    <w:name w:val="Body Text 2"/>
    <w:basedOn w:val="1"/>
    <w:link w:val="30"/>
    <w:qFormat/>
    <w:uiPriority w:val="0"/>
    <w:pPr>
      <w:jc w:val="center"/>
    </w:pPr>
    <w:rPr>
      <w:rFonts w:ascii="Times New Roman" w:hAnsi="Times New Roman" w:eastAsia="宋体" w:cs="Times New Roman"/>
      <w:kern w:val="0"/>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uiPriority w:val="0"/>
    <w:rPr>
      <w:rFonts w:ascii="Times New Roman" w:hAnsi="Times New Roman" w:eastAsia="宋体" w:cs="Times New Roman"/>
      <w:kern w:val="0"/>
      <w:sz w:val="24"/>
      <w:szCs w:val="24"/>
    </w:rPr>
  </w:style>
  <w:style w:type="character" w:customStyle="1" w:styleId="28">
    <w:name w:val="正文文本缩进 Char"/>
    <w:basedOn w:val="19"/>
    <w:link w:val="7"/>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5"/>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0"/>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75B1E5-CDBB-4B6B-9854-634451BB5E8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61</Pages>
  <Words>4938</Words>
  <Characters>28147</Characters>
  <Lines>234</Lines>
  <Paragraphs>66</Paragraphs>
  <TotalTime>10</TotalTime>
  <ScaleCrop>false</ScaleCrop>
  <LinksUpToDate>false</LinksUpToDate>
  <CharactersWithSpaces>33019</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2020-03-30T02:20:00Z</dcterms:created>
  <dc:creator>Administrator</dc:creator>
  <cp:lastModifiedBy>Administrator</cp:lastModifiedBy>
  <cp:lastPrinted>2020-12-01T09:57:00Z</cp:lastPrinted>
  <dcterms:modified xsi:type="dcterms:W3CDTF">2020-12-17T07:31:33Z</dcterms:modified>
  <cp:revision>240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