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rPr>
        <w:t xml:space="preserve">血栓弹力图仪   </w:t>
      </w:r>
      <w:r>
        <w:rPr>
          <w:rFonts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2020-JL13(03)-W10067</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32</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35</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579"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r>
        <w:rPr>
          <w:rFonts w:hint="eastAsia" w:ascii="Tahoma" w:hAnsi="Tahoma" w:cs="Tahoma"/>
          <w:b/>
          <w:bCs/>
          <w:kern w:val="0"/>
          <w:sz w:val="28"/>
          <w:szCs w:val="28"/>
        </w:rPr>
        <w:t>关于血栓弹力图仪的采购</w:t>
      </w:r>
      <w:r>
        <w:rPr>
          <w:rFonts w:ascii="Tahoma" w:hAnsi="Tahoma" w:cs="Tahoma"/>
          <w:b/>
          <w:bCs/>
          <w:kern w:val="0"/>
          <w:sz w:val="28"/>
          <w:szCs w:val="28"/>
        </w:rPr>
        <w:t>公告</w:t>
      </w:r>
      <w:r>
        <w:rPr>
          <w:rFonts w:ascii="Tahoma" w:hAnsi="Tahoma" w:cs="Tahoma"/>
          <w:kern w:val="0"/>
          <w:sz w:val="28"/>
          <w:szCs w:val="28"/>
        </w:rPr>
        <w:t>2020-JL13(03)-W10067</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血栓弹力图仪</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项目编号：2020-JL13(03)-W10067</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血栓弹力图仪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套</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6</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11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19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11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26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12</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289"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11 月19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435540979"/>
      <w:bookmarkStart w:id="6" w:name="_Toc37172688"/>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51"/>
        <w:gridCol w:w="2814"/>
        <w:gridCol w:w="1004"/>
        <w:gridCol w:w="2402"/>
        <w:gridCol w:w="1053"/>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序号</w:t>
            </w:r>
          </w:p>
        </w:tc>
        <w:tc>
          <w:tcPr>
            <w:tcW w:w="28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100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105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cs="Times New Roman" w:asciiTheme="minorEastAsia" w:hAnsiTheme="minorEastAsia"/>
                <w:kern w:val="0"/>
                <w:szCs w:val="21"/>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1</w:t>
            </w:r>
          </w:p>
        </w:tc>
        <w:tc>
          <w:tcPr>
            <w:tcW w:w="281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血栓弹力图仪</w:t>
            </w:r>
          </w:p>
        </w:tc>
        <w:tc>
          <w:tcPr>
            <w:tcW w:w="100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详见下表</w:t>
            </w:r>
          </w:p>
        </w:tc>
        <w:tc>
          <w:tcPr>
            <w:tcW w:w="1053"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套</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6</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血栓弹力图仪技术要求</w:t>
      </w:r>
    </w:p>
    <w:tbl>
      <w:tblPr>
        <w:tblStyle w:val="17"/>
        <w:tblW w:w="9214" w:type="dxa"/>
        <w:tblInd w:w="-34" w:type="dxa"/>
        <w:tblLayout w:type="fixed"/>
        <w:tblCellMar>
          <w:top w:w="0" w:type="dxa"/>
          <w:left w:w="108" w:type="dxa"/>
          <w:bottom w:w="0" w:type="dxa"/>
          <w:right w:w="108" w:type="dxa"/>
        </w:tblCellMar>
      </w:tblPr>
      <w:tblGrid>
        <w:gridCol w:w="993"/>
        <w:gridCol w:w="2693"/>
        <w:gridCol w:w="4394"/>
        <w:gridCol w:w="1134"/>
      </w:tblGrid>
      <w:tr>
        <w:tblPrEx>
          <w:tblCellMar>
            <w:top w:w="0" w:type="dxa"/>
            <w:left w:w="108" w:type="dxa"/>
            <w:bottom w:w="0" w:type="dxa"/>
            <w:right w:w="108" w:type="dxa"/>
          </w:tblCellMar>
        </w:tblPrEx>
        <w:trPr>
          <w:trHeight w:val="567" w:hRule="atLeast"/>
        </w:trPr>
        <w:tc>
          <w:tcPr>
            <w:tcW w:w="993"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序号</w:t>
            </w:r>
          </w:p>
        </w:tc>
        <w:tc>
          <w:tcPr>
            <w:tcW w:w="2693"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技术和性能参数名称</w:t>
            </w:r>
          </w:p>
        </w:tc>
        <w:tc>
          <w:tcPr>
            <w:tcW w:w="4394"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技术参数和性能要求</w:t>
            </w:r>
          </w:p>
        </w:tc>
        <w:tc>
          <w:tcPr>
            <w:tcW w:w="1134" w:type="dxa"/>
            <w:tcBorders>
              <w:top w:val="single" w:color="auto" w:sz="8"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备注</w:t>
            </w: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1</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设备使用需求</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1.1</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设备用途</w:t>
            </w:r>
          </w:p>
        </w:tc>
        <w:tc>
          <w:tcPr>
            <w:tcW w:w="4394" w:type="dxa"/>
            <w:tcBorders>
              <w:top w:val="nil"/>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动态监测整个凝血过程，全面兼顾血栓及出血风险，指导成分血液制品的输注，评估肝素等抗凝及抗血小板药物疗效。</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1.2</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实验对象</w:t>
            </w:r>
          </w:p>
        </w:tc>
        <w:tc>
          <w:tcPr>
            <w:tcW w:w="4394" w:type="dxa"/>
            <w:tcBorders>
              <w:top w:val="single" w:color="auto" w:sz="4" w:space="0"/>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术前、术中、术后需要凝血监测的患者，需要成分血输注的患者，使用肝素或低分子肝素患者，使用抗血小板药物患者。</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kern w:val="0"/>
                <w:szCs w:val="21"/>
              </w:rPr>
            </w:pPr>
            <w:r>
              <w:rPr>
                <w:rFonts w:hint="eastAsia" w:cs="Times New Roman" w:asciiTheme="minorEastAsia" w:hAnsiTheme="minorEastAsia"/>
                <w:b/>
                <w:kern w:val="0"/>
                <w:szCs w:val="21"/>
              </w:rPr>
              <w:t>2</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主要技术参数</w:t>
            </w:r>
            <w:r>
              <w:rPr>
                <w:rFonts w:hint="eastAsia" w:cs="Times New Roman" w:asciiTheme="minorEastAsia" w:hAnsiTheme="minorEastAsia"/>
                <w:b/>
                <w:bCs/>
                <w:kern w:val="0"/>
                <w:szCs w:val="21"/>
              </w:rPr>
              <w:br w:type="textWrapping"/>
            </w:r>
            <w:r>
              <w:rPr>
                <w:rFonts w:hint="eastAsia" w:cs="Times New Roman" w:asciiTheme="minorEastAsia" w:hAnsiTheme="minorEastAsia"/>
                <w:b/>
                <w:bCs/>
                <w:kern w:val="0"/>
                <w:szCs w:val="21"/>
              </w:rPr>
              <w:t>（一行只写一个参数）</w:t>
            </w:r>
          </w:p>
        </w:tc>
        <w:tc>
          <w:tcPr>
            <w:tcW w:w="4394" w:type="dxa"/>
            <w:tcBorders>
              <w:top w:val="nil"/>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cs="宋体" w:asciiTheme="minorEastAsia" w:hAnsiTheme="minorEastAsia" w:eastAsiaTheme="minorEastAsia"/>
                <w:color w:val="000000"/>
                <w:kern w:val="0"/>
                <w:szCs w:val="21"/>
                <w:lang w:bidi="ar"/>
              </w:rPr>
            </w:pPr>
          </w:p>
        </w:tc>
        <w:tc>
          <w:tcPr>
            <w:tcW w:w="1134" w:type="dxa"/>
            <w:tcBorders>
              <w:top w:val="nil"/>
              <w:left w:val="nil"/>
              <w:bottom w:val="single" w:color="auto" w:sz="4" w:space="0"/>
              <w:right w:val="single" w:color="auto" w:sz="8" w:space="0"/>
            </w:tcBorders>
            <w:vAlign w:val="center"/>
          </w:tcPr>
          <w:p>
            <w:pPr>
              <w:adjustRightInd w:val="0"/>
              <w:snapToGrid w:val="0"/>
              <w:spacing w:line="360" w:lineRule="atLeast"/>
              <w:rPr>
                <w:rFonts w:cs="宋体" w:asciiTheme="minorEastAsia" w:hAnsiTheme="minorEastAsia"/>
                <w:b/>
                <w:bCs/>
                <w:szCs w:val="21"/>
              </w:rPr>
            </w:pP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2.1</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★参数1</w:t>
            </w:r>
          </w:p>
        </w:tc>
        <w:tc>
          <w:tcPr>
            <w:tcW w:w="4394" w:type="dxa"/>
            <w:tcBorders>
              <w:top w:val="nil"/>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检测原理：电磁法检测，采用传统悬垂丝设计</w:t>
            </w:r>
          </w:p>
        </w:tc>
        <w:tc>
          <w:tcPr>
            <w:tcW w:w="1134" w:type="dxa"/>
            <w:tcBorders>
              <w:top w:val="nil"/>
              <w:left w:val="nil"/>
              <w:bottom w:val="single" w:color="auto" w:sz="4" w:space="0"/>
              <w:right w:val="single" w:color="auto" w:sz="8" w:space="0"/>
            </w:tcBorders>
            <w:vAlign w:val="center"/>
          </w:tcPr>
          <w:p>
            <w:pPr>
              <w:adjustRightInd w:val="0"/>
              <w:snapToGrid w:val="0"/>
              <w:spacing w:line="360" w:lineRule="atLeast"/>
              <w:rPr>
                <w:rFonts w:cs="宋体" w:asciiTheme="minorEastAsia" w:hAnsiTheme="minorEastAsia"/>
                <w:szCs w:val="21"/>
              </w:rPr>
            </w:pPr>
            <w:r>
              <w:rPr>
                <w:rFonts w:hint="eastAsia" w:cs="宋体" w:asciiTheme="minorEastAsia" w:hAnsiTheme="minorEastAsia"/>
                <w:szCs w:val="21"/>
              </w:rPr>
              <w:t xml:space="preserve"> </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2.2</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★参数2</w:t>
            </w:r>
          </w:p>
        </w:tc>
        <w:tc>
          <w:tcPr>
            <w:tcW w:w="4394" w:type="dxa"/>
            <w:tcBorders>
              <w:top w:val="single" w:color="auto" w:sz="4" w:space="0"/>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仪器通道：单台仪器检测通道应≥四通道</w:t>
            </w:r>
          </w:p>
        </w:tc>
        <w:tc>
          <w:tcPr>
            <w:tcW w:w="1134" w:type="dxa"/>
            <w:tcBorders>
              <w:top w:val="single" w:color="auto" w:sz="4" w:space="0"/>
              <w:left w:val="nil"/>
              <w:bottom w:val="single" w:color="auto" w:sz="4" w:space="0"/>
              <w:right w:val="single" w:color="auto" w:sz="8" w:space="0"/>
            </w:tcBorders>
            <w:vAlign w:val="center"/>
          </w:tcPr>
          <w:p>
            <w:pPr>
              <w:adjustRightInd w:val="0"/>
              <w:snapToGrid w:val="0"/>
              <w:spacing w:line="360" w:lineRule="atLeast"/>
              <w:rPr>
                <w:rFonts w:cs="宋体" w:asciiTheme="minorEastAsia" w:hAnsiTheme="minorEastAsia"/>
                <w:szCs w:val="21"/>
              </w:rPr>
            </w:pPr>
            <w:r>
              <w:rPr>
                <w:rFonts w:hint="eastAsia" w:cs="宋体" w:asciiTheme="minorEastAsia" w:hAnsiTheme="minorEastAsia"/>
                <w:szCs w:val="21"/>
              </w:rPr>
              <w:t xml:space="preserve"> </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2.3</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★参数3</w:t>
            </w:r>
          </w:p>
        </w:tc>
        <w:tc>
          <w:tcPr>
            <w:tcW w:w="4394" w:type="dxa"/>
            <w:tcBorders>
              <w:top w:val="single" w:color="auto" w:sz="4" w:space="0"/>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自动化程度：仪器具备自动上下杯功能</w:t>
            </w:r>
          </w:p>
        </w:tc>
        <w:tc>
          <w:tcPr>
            <w:tcW w:w="1134" w:type="dxa"/>
            <w:tcBorders>
              <w:top w:val="single" w:color="auto" w:sz="4" w:space="0"/>
              <w:left w:val="nil"/>
              <w:bottom w:val="single" w:color="auto" w:sz="4" w:space="0"/>
              <w:right w:val="single" w:color="auto" w:sz="8" w:space="0"/>
            </w:tcBorders>
            <w:vAlign w:val="center"/>
          </w:tcPr>
          <w:p>
            <w:pPr>
              <w:adjustRightInd w:val="0"/>
              <w:snapToGrid w:val="0"/>
              <w:spacing w:line="360" w:lineRule="atLeast"/>
              <w:rPr>
                <w:rFonts w:cs="宋体" w:asciiTheme="minorEastAsia" w:hAnsiTheme="minorEastAsia"/>
                <w:b/>
                <w:bCs/>
                <w:szCs w:val="21"/>
              </w:rPr>
            </w:pPr>
            <w:r>
              <w:rPr>
                <w:rFonts w:hint="eastAsia" w:cs="宋体" w:asciiTheme="minorEastAsia" w:hAnsiTheme="minorEastAsia"/>
                <w:szCs w:val="21"/>
              </w:rPr>
              <w:t xml:space="preserve"> </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2.4</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▲参数4</w:t>
            </w:r>
          </w:p>
        </w:tc>
        <w:tc>
          <w:tcPr>
            <w:tcW w:w="4394" w:type="dxa"/>
            <w:tcBorders>
              <w:top w:val="single" w:color="auto" w:sz="4" w:space="0"/>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数据传输：双向 LIS 链接，数据与图像自动抓取上传。</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2.5</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kern w:val="0"/>
                <w:szCs w:val="21"/>
              </w:rPr>
              <w:t>▲参数5</w:t>
            </w:r>
          </w:p>
        </w:tc>
        <w:tc>
          <w:tcPr>
            <w:tcW w:w="4394" w:type="dxa"/>
            <w:tcBorders>
              <w:top w:val="single" w:color="auto" w:sz="4" w:space="0"/>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asciiTheme="minorEastAsia" w:hAnsiTheme="minorEastAsia" w:eastAsiaTheme="minorEastAsia" w:cstheme="majorEastAsia"/>
                <w:szCs w:val="21"/>
              </w:rPr>
            </w:pPr>
            <w:r>
              <w:rPr>
                <w:rFonts w:hint="eastAsia" w:cs="宋体" w:asciiTheme="minorEastAsia" w:hAnsiTheme="minorEastAsia" w:eastAsiaTheme="minorEastAsia"/>
                <w:color w:val="000000"/>
                <w:kern w:val="0"/>
                <w:szCs w:val="21"/>
                <w:lang w:bidi="ar"/>
              </w:rPr>
              <w:t>温度控制：每个通道均有独立温度控制系统，可根据需要调节</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2.6</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▲参数6</w:t>
            </w:r>
          </w:p>
        </w:tc>
        <w:tc>
          <w:tcPr>
            <w:tcW w:w="4394" w:type="dxa"/>
            <w:tcBorders>
              <w:top w:val="single" w:color="auto" w:sz="4" w:space="0"/>
              <w:left w:val="nil"/>
              <w:bottom w:val="single" w:color="auto" w:sz="4" w:space="0"/>
              <w:right w:val="single" w:color="auto" w:sz="4" w:space="0"/>
            </w:tcBorders>
            <w:vAlign w:val="center"/>
          </w:tcPr>
          <w:p>
            <w:pPr>
              <w:pStyle w:val="48"/>
              <w:adjustRightInd w:val="0"/>
              <w:snapToGrid w:val="0"/>
              <w:spacing w:before="16" w:line="360" w:lineRule="atLeast"/>
              <w:ind w:left="0" w:right="106"/>
              <w:jc w:val="both"/>
              <w:rPr>
                <w:rFonts w:asciiTheme="minorEastAsia" w:hAnsiTheme="minorEastAsia" w:eastAsiaTheme="minorEastAsia" w:cstheme="majorEastAsia"/>
                <w:sz w:val="21"/>
                <w:szCs w:val="21"/>
                <w:lang w:val="en-US"/>
              </w:rPr>
            </w:pPr>
            <w:r>
              <w:rPr>
                <w:rFonts w:hint="eastAsia" w:asciiTheme="minorEastAsia" w:hAnsiTheme="minorEastAsia" w:eastAsiaTheme="minorEastAsia" w:cstheme="majorEastAsia"/>
                <w:sz w:val="21"/>
                <w:szCs w:val="21"/>
                <w:lang w:val="en-US"/>
              </w:rPr>
              <w:t>具有</w:t>
            </w:r>
            <w:r>
              <w:rPr>
                <w:rFonts w:hint="eastAsia" w:asciiTheme="minorEastAsia" w:hAnsiTheme="minorEastAsia" w:eastAsiaTheme="minorEastAsia" w:cstheme="majorEastAsia"/>
                <w:sz w:val="21"/>
                <w:szCs w:val="21"/>
              </w:rPr>
              <w:t>原厂质控品</w:t>
            </w:r>
            <w:r>
              <w:rPr>
                <w:rFonts w:hint="eastAsia" w:asciiTheme="minorEastAsia" w:hAnsiTheme="minorEastAsia" w:eastAsiaTheme="minorEastAsia" w:cstheme="majorEastAsia"/>
                <w:sz w:val="21"/>
                <w:szCs w:val="21"/>
                <w:lang w:val="en-US"/>
              </w:rPr>
              <w:t>可选</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2.7</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参数7</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rPr>
                <w:rFonts w:asciiTheme="minorEastAsia" w:hAnsiTheme="minorEastAsia" w:cstheme="majorEastAsia"/>
                <w:szCs w:val="21"/>
              </w:rPr>
            </w:pPr>
            <w:r>
              <w:rPr>
                <w:rFonts w:hint="eastAsia" w:asciiTheme="minorEastAsia" w:hAnsiTheme="minorEastAsia" w:cstheme="majorEastAsia"/>
                <w:color w:val="000000" w:themeColor="text1"/>
                <w:szCs w:val="21"/>
              </w:rPr>
              <w:t>一体机具备电容式触摸屏</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2.8</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参数8</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rPr>
                <w:rFonts w:asciiTheme="minorEastAsia" w:hAnsiTheme="minorEastAsia" w:cstheme="majorEastAsia"/>
                <w:szCs w:val="21"/>
              </w:rPr>
            </w:pPr>
            <w:r>
              <w:rPr>
                <w:rFonts w:hint="eastAsia" w:asciiTheme="minorEastAsia" w:hAnsiTheme="minorEastAsia" w:cstheme="majorEastAsia"/>
                <w:szCs w:val="21"/>
              </w:rPr>
              <w:t>输出参数：R,K,ANGLE,MA,LY30，EPL，抑制率，MA</w:t>
            </w:r>
            <w:r>
              <w:rPr>
                <w:rFonts w:hint="eastAsia" w:asciiTheme="minorEastAsia" w:hAnsiTheme="minorEastAsia" w:cstheme="majorEastAsia"/>
                <w:szCs w:val="21"/>
                <w:vertAlign w:val="subscript"/>
              </w:rPr>
              <w:t>ADP</w:t>
            </w:r>
            <w:r>
              <w:rPr>
                <w:rFonts w:hint="eastAsia" w:asciiTheme="minorEastAsia" w:hAnsiTheme="minorEastAsia" w:cstheme="majorEastAsia"/>
                <w:szCs w:val="21"/>
              </w:rPr>
              <w:t>，MA</w:t>
            </w:r>
            <w:r>
              <w:rPr>
                <w:rFonts w:hint="eastAsia" w:asciiTheme="minorEastAsia" w:hAnsiTheme="minorEastAsia" w:cstheme="majorEastAsia"/>
                <w:szCs w:val="21"/>
                <w:vertAlign w:val="subscript"/>
              </w:rPr>
              <w:t>AA</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2.9</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kern w:val="0"/>
                <w:szCs w:val="21"/>
              </w:rPr>
              <w:t>参数9</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szCs w:val="21"/>
              </w:rPr>
            </w:pPr>
            <w:r>
              <w:rPr>
                <w:rFonts w:hint="eastAsia" w:asciiTheme="minorEastAsia" w:hAnsiTheme="minorEastAsia" w:cstheme="majorEastAsia"/>
                <w:szCs w:val="21"/>
              </w:rPr>
              <w:t>精密度</w:t>
            </w:r>
            <w:r>
              <w:rPr>
                <w:rFonts w:hint="eastAsia" w:asciiTheme="minorEastAsia" w:hAnsiTheme="minorEastAsia" w:cstheme="majorEastAsia"/>
                <w:b/>
                <w:bCs/>
                <w:szCs w:val="21"/>
              </w:rPr>
              <w:t>：</w:t>
            </w:r>
            <w:r>
              <w:rPr>
                <w:rFonts w:hint="eastAsia" w:asciiTheme="minorEastAsia" w:hAnsiTheme="minorEastAsia" w:cstheme="majorEastAsia"/>
                <w:szCs w:val="21"/>
              </w:rPr>
              <w:t>所有配套试剂药监局批准的说明书上 CV 值小于 15%</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kern w:val="0"/>
                <w:szCs w:val="21"/>
              </w:rPr>
              <w:t>参数10</w:t>
            </w:r>
          </w:p>
        </w:tc>
        <w:tc>
          <w:tcPr>
            <w:tcW w:w="4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cstheme="majorEastAsia"/>
                <w:szCs w:val="21"/>
              </w:rPr>
            </w:pPr>
            <w:r>
              <w:rPr>
                <w:rFonts w:hint="eastAsia" w:asciiTheme="minorEastAsia" w:hAnsiTheme="minorEastAsia" w:cstheme="majorEastAsia"/>
                <w:szCs w:val="21"/>
              </w:rPr>
              <w:t>连续工作时间不低于 24 小时</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2.11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参数11</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rPr>
                <w:rFonts w:asciiTheme="minorEastAsia" w:hAnsiTheme="minorEastAsia" w:cstheme="majorEastAsia"/>
                <w:szCs w:val="21"/>
              </w:rPr>
            </w:pPr>
            <w:r>
              <w:rPr>
                <w:rFonts w:hint="eastAsia" w:asciiTheme="minorEastAsia" w:hAnsiTheme="minorEastAsia" w:cstheme="majorEastAsia"/>
                <w:szCs w:val="21"/>
              </w:rPr>
              <w:t>报告打印：中文结论+原图报告</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2.12</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参数12</w:t>
            </w:r>
          </w:p>
        </w:tc>
        <w:tc>
          <w:tcPr>
            <w:tcW w:w="4394" w:type="dxa"/>
            <w:tcBorders>
              <w:top w:val="single" w:color="auto" w:sz="4" w:space="0"/>
              <w:left w:val="nil"/>
              <w:bottom w:val="single" w:color="auto" w:sz="4" w:space="0"/>
              <w:right w:val="single" w:color="auto" w:sz="4" w:space="0"/>
            </w:tcBorders>
            <w:vAlign w:val="center"/>
          </w:tcPr>
          <w:p>
            <w:pPr>
              <w:pStyle w:val="48"/>
              <w:adjustRightInd w:val="0"/>
              <w:snapToGrid w:val="0"/>
              <w:spacing w:before="16" w:line="360" w:lineRule="atLeast"/>
              <w:ind w:left="0" w:right="106"/>
              <w:jc w:val="both"/>
              <w:rPr>
                <w:rFonts w:asciiTheme="minorEastAsia" w:hAnsiTheme="minorEastAsia" w:eastAsiaTheme="minorEastAsia" w:cstheme="majorEastAsia"/>
                <w:sz w:val="21"/>
                <w:szCs w:val="21"/>
              </w:rPr>
            </w:pPr>
            <w:r>
              <w:rPr>
                <w:rFonts w:hint="eastAsia" w:asciiTheme="minorEastAsia" w:hAnsiTheme="minorEastAsia" w:eastAsiaTheme="minorEastAsia" w:cstheme="majorEastAsia"/>
                <w:sz w:val="21"/>
                <w:szCs w:val="21"/>
              </w:rPr>
              <w:t>试剂盒包含：普通杯、肝素酶杯、血小板聚集功能（AA及ADP途径）、质控品，且</w:t>
            </w:r>
            <w:r>
              <w:rPr>
                <w:rFonts w:hint="eastAsia" w:asciiTheme="minorEastAsia" w:hAnsiTheme="minorEastAsia" w:eastAsiaTheme="minorEastAsia" w:cstheme="majorEastAsia"/>
                <w:sz w:val="21"/>
                <w:szCs w:val="21"/>
                <w:lang w:val="en-US"/>
              </w:rPr>
              <w:t>有效期≥</w:t>
            </w:r>
            <w:r>
              <w:rPr>
                <w:rFonts w:hint="eastAsia" w:asciiTheme="minorEastAsia" w:hAnsiTheme="minorEastAsia" w:eastAsiaTheme="minorEastAsia" w:cstheme="majorEastAsia"/>
                <w:sz w:val="21"/>
                <w:szCs w:val="21"/>
              </w:rPr>
              <w:t>12</w:t>
            </w:r>
            <w:r>
              <w:rPr>
                <w:rFonts w:hint="eastAsia" w:asciiTheme="minorEastAsia" w:hAnsiTheme="minorEastAsia" w:eastAsiaTheme="minorEastAsia" w:cstheme="majorEastAsia"/>
                <w:sz w:val="21"/>
                <w:szCs w:val="21"/>
                <w:lang w:val="en-US"/>
              </w:rPr>
              <w:t>个月</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kern w:val="0"/>
                <w:szCs w:val="21"/>
              </w:rPr>
            </w:pPr>
            <w:r>
              <w:rPr>
                <w:rFonts w:hint="eastAsia" w:cs="Times New Roman" w:asciiTheme="minorEastAsia" w:hAnsiTheme="minorEastAsia"/>
                <w:b/>
                <w:kern w:val="0"/>
                <w:szCs w:val="21"/>
              </w:rPr>
              <w:t>3</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ind w:firstLine="201" w:firstLineChars="100"/>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配置需求</w:t>
            </w:r>
            <w:r>
              <w:rPr>
                <w:rFonts w:hint="eastAsia" w:cs="Times New Roman" w:asciiTheme="minorEastAsia" w:hAnsiTheme="minorEastAsia"/>
                <w:b/>
                <w:bCs/>
                <w:kern w:val="0"/>
                <w:szCs w:val="21"/>
              </w:rPr>
              <w:br w:type="textWrapping"/>
            </w:r>
            <w:r>
              <w:rPr>
                <w:rFonts w:hint="eastAsia" w:cs="Times New Roman" w:asciiTheme="minorEastAsia" w:hAnsiTheme="minorEastAsia"/>
                <w:b/>
                <w:bCs/>
                <w:kern w:val="0"/>
                <w:szCs w:val="21"/>
              </w:rPr>
              <w:t>（一行只写一个配置）</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rPr>
                <w:rFonts w:asciiTheme="minorEastAsia" w:hAnsiTheme="minorEastAsia" w:cstheme="majorEastAsia"/>
                <w:kern w:val="0"/>
                <w:szCs w:val="21"/>
              </w:rPr>
            </w:pP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3.1</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配置1</w:t>
            </w:r>
          </w:p>
        </w:tc>
        <w:tc>
          <w:tcPr>
            <w:tcW w:w="4394"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rPr>
                <w:rFonts w:asciiTheme="minorEastAsia" w:hAnsiTheme="minorEastAsia" w:cstheme="majorEastAsia"/>
                <w:kern w:val="0"/>
                <w:szCs w:val="21"/>
              </w:rPr>
            </w:pPr>
            <w:r>
              <w:rPr>
                <w:rFonts w:hint="eastAsia" w:asciiTheme="minorEastAsia" w:hAnsiTheme="minorEastAsia" w:cstheme="majorEastAsia"/>
                <w:kern w:val="0"/>
                <w:szCs w:val="21"/>
              </w:rPr>
              <w:t>血栓弹力图主机 1台</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3.2</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配置2</w:t>
            </w:r>
          </w:p>
        </w:tc>
        <w:tc>
          <w:tcPr>
            <w:tcW w:w="4394" w:type="dxa"/>
            <w:tcBorders>
              <w:top w:val="nil"/>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asciiTheme="minorEastAsia" w:hAnsiTheme="minorEastAsia" w:eastAsiaTheme="minorEastAsia" w:cstheme="majorEastAsia"/>
                <w:kern w:val="0"/>
                <w:szCs w:val="21"/>
              </w:rPr>
            </w:pPr>
            <w:r>
              <w:rPr>
                <w:rFonts w:hint="eastAsia" w:asciiTheme="minorEastAsia" w:hAnsiTheme="minorEastAsia" w:eastAsiaTheme="minorEastAsia" w:cstheme="majorEastAsia"/>
                <w:kern w:val="0"/>
                <w:szCs w:val="21"/>
              </w:rPr>
              <w:t>电源线1根</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3.3</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配置3</w:t>
            </w:r>
          </w:p>
        </w:tc>
        <w:tc>
          <w:tcPr>
            <w:tcW w:w="4394" w:type="dxa"/>
            <w:tcBorders>
              <w:top w:val="nil"/>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asciiTheme="minorEastAsia" w:hAnsiTheme="minorEastAsia" w:eastAsiaTheme="minorEastAsia" w:cstheme="majorEastAsia"/>
                <w:kern w:val="0"/>
                <w:szCs w:val="21"/>
              </w:rPr>
            </w:pPr>
            <w:r>
              <w:rPr>
                <w:rFonts w:hint="eastAsia" w:asciiTheme="minorEastAsia" w:hAnsiTheme="minorEastAsia" w:eastAsiaTheme="minorEastAsia" w:cstheme="majorEastAsia"/>
                <w:kern w:val="0"/>
                <w:szCs w:val="21"/>
              </w:rPr>
              <w:t>调节笔1支</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3.4</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配置4</w:t>
            </w:r>
          </w:p>
        </w:tc>
        <w:tc>
          <w:tcPr>
            <w:tcW w:w="4394" w:type="dxa"/>
            <w:tcBorders>
              <w:top w:val="single" w:color="auto" w:sz="4" w:space="0"/>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asciiTheme="minorEastAsia" w:hAnsiTheme="minorEastAsia" w:eastAsiaTheme="minorEastAsia" w:cstheme="majorEastAsia"/>
                <w:kern w:val="0"/>
                <w:szCs w:val="21"/>
              </w:rPr>
            </w:pPr>
            <w:r>
              <w:rPr>
                <w:rFonts w:hint="eastAsia" w:asciiTheme="minorEastAsia" w:hAnsiTheme="minorEastAsia" w:eastAsiaTheme="minorEastAsia" w:cstheme="majorEastAsia"/>
                <w:kern w:val="0"/>
                <w:szCs w:val="21"/>
              </w:rPr>
              <w:t>无线键盘1个</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3.5</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配置5</w:t>
            </w:r>
          </w:p>
        </w:tc>
        <w:tc>
          <w:tcPr>
            <w:tcW w:w="4394" w:type="dxa"/>
            <w:tcBorders>
              <w:top w:val="single" w:color="auto" w:sz="4" w:space="0"/>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asciiTheme="minorEastAsia" w:hAnsiTheme="minorEastAsia" w:eastAsiaTheme="minorEastAsia" w:cstheme="majorEastAsia"/>
                <w:kern w:val="0"/>
                <w:szCs w:val="21"/>
              </w:rPr>
            </w:pPr>
            <w:r>
              <w:rPr>
                <w:rFonts w:hint="eastAsia" w:asciiTheme="minorEastAsia" w:hAnsiTheme="minorEastAsia" w:eastAsiaTheme="minorEastAsia" w:cstheme="majorEastAsia"/>
                <w:kern w:val="0"/>
                <w:szCs w:val="21"/>
              </w:rPr>
              <w:t>无线鼠标1个</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3.6</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配置6</w:t>
            </w:r>
          </w:p>
        </w:tc>
        <w:tc>
          <w:tcPr>
            <w:tcW w:w="4394" w:type="dxa"/>
            <w:tcBorders>
              <w:top w:val="single" w:color="auto" w:sz="4" w:space="0"/>
              <w:left w:val="nil"/>
              <w:bottom w:val="single" w:color="auto" w:sz="4" w:space="0"/>
              <w:right w:val="single" w:color="auto" w:sz="4" w:space="0"/>
            </w:tcBorders>
            <w:vAlign w:val="center"/>
          </w:tcPr>
          <w:p>
            <w:pPr>
              <w:pStyle w:val="47"/>
              <w:adjustRightInd w:val="0"/>
              <w:snapToGrid w:val="0"/>
              <w:spacing w:line="360" w:lineRule="atLeast"/>
              <w:ind w:firstLine="0" w:firstLineChars="0"/>
              <w:rPr>
                <w:rFonts w:asciiTheme="minorEastAsia" w:hAnsiTheme="minorEastAsia" w:eastAsiaTheme="minorEastAsia" w:cstheme="majorEastAsia"/>
                <w:kern w:val="0"/>
                <w:szCs w:val="21"/>
              </w:rPr>
            </w:pPr>
            <w:r>
              <w:rPr>
                <w:rFonts w:hint="eastAsia" w:asciiTheme="minorEastAsia" w:hAnsiTheme="minorEastAsia" w:eastAsiaTheme="minorEastAsia" w:cstheme="majorEastAsia"/>
                <w:kern w:val="0"/>
                <w:szCs w:val="21"/>
              </w:rPr>
              <w:t>反光镜1个</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4</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hint="eastAsia" w:cs="Times New Roman" w:asciiTheme="minorEastAsia" w:hAnsiTheme="minorEastAsia"/>
                <w:b/>
                <w:bCs/>
                <w:kern w:val="0"/>
                <w:szCs w:val="21"/>
              </w:rPr>
              <w:t>售后服务</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rPr>
                <w:rFonts w:asciiTheme="minorEastAsia" w:hAnsiTheme="minorEastAsia" w:cstheme="majorEastAsia"/>
                <w:b/>
                <w:bCs/>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4.1</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保修年限</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≥5年</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4.2</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出现故障回应时间</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维修到达现场时间≤ 2小时（本地）</w:t>
            </w:r>
            <w:r>
              <w:rPr>
                <w:rFonts w:hint="eastAsia" w:asciiTheme="minorEastAsia" w:hAnsiTheme="minorEastAsia" w:cstheme="majorEastAsia"/>
                <w:kern w:val="0"/>
                <w:szCs w:val="21"/>
              </w:rPr>
              <w:br w:type="textWrapping"/>
            </w:r>
            <w:r>
              <w:rPr>
                <w:rFonts w:hint="eastAsia" w:asciiTheme="minorEastAsia" w:hAnsiTheme="minorEastAsia" w:cstheme="majorEastAsia"/>
                <w:kern w:val="0"/>
                <w:szCs w:val="21"/>
              </w:rPr>
              <w:t>维修到达现场时间≤24小时（外地）</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4.3</w:t>
            </w:r>
          </w:p>
        </w:tc>
        <w:tc>
          <w:tcPr>
            <w:tcW w:w="2693"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维修支持</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零部件供应时间≥10年</w:t>
            </w:r>
          </w:p>
        </w:tc>
        <w:tc>
          <w:tcPr>
            <w:tcW w:w="1134"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4.5</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维修资料</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提供详细操作手册、维修保养手册、安装手册等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4.6</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维修工具</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提供维修专用工具1套</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4.7</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预防性维修</w:t>
            </w:r>
            <w:r>
              <w:rPr>
                <w:rFonts w:hint="eastAsia" w:cs="Times New Roman" w:asciiTheme="minorEastAsia" w:hAnsiTheme="minorEastAsia"/>
                <w:kern w:val="0"/>
                <w:szCs w:val="21"/>
              </w:rPr>
              <w:br w:type="textWrapping"/>
            </w:r>
            <w:r>
              <w:rPr>
                <w:rFonts w:hint="eastAsia" w:cs="Times New Roman" w:asciiTheme="minorEastAsia" w:hAnsiTheme="minorEastAsia"/>
                <w:kern w:val="0"/>
                <w:szCs w:val="21"/>
              </w:rPr>
              <w:t>/定期维护保养</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保修期内提供定期维护保养服务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4.8</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维修密码支持</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开放</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4.9</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升级</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终身免费软件升级</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4.10</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使用培训</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支持</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4.11</w:t>
            </w:r>
          </w:p>
        </w:tc>
        <w:tc>
          <w:tcPr>
            <w:tcW w:w="269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工程师培训</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asciiTheme="minorEastAsia" w:hAnsiTheme="minorEastAsia" w:cstheme="majorEastAsia"/>
                <w:kern w:val="0"/>
                <w:szCs w:val="21"/>
              </w:rPr>
            </w:pPr>
            <w:r>
              <w:rPr>
                <w:rFonts w:hint="eastAsia" w:asciiTheme="minorEastAsia" w:hAnsiTheme="minorEastAsia" w:cstheme="majorEastAsia"/>
                <w:kern w:val="0"/>
                <w:szCs w:val="21"/>
              </w:rPr>
              <w:t>支持</w:t>
            </w:r>
          </w:p>
        </w:tc>
        <w:tc>
          <w:tcPr>
            <w:tcW w:w="1134"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7.所有设备应在投标/报价文件商务条款中列出5年以后全保费用金额（如： 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b/>
          <w:sz w:val="24"/>
          <w:szCs w:val="24"/>
        </w:rPr>
      </w:pPr>
      <w:r>
        <w:rPr>
          <w:rFonts w:hint="eastAsia" w:cs="Arial" w:asciiTheme="minorEastAsia" w:hAnsiTheme="minorEastAsia"/>
          <w:b/>
          <w:sz w:val="24"/>
          <w:szCs w:val="24"/>
        </w:rPr>
        <w:t>10.此次招标设备需配套使用耗材（试剂），耗材（试剂）需要一并进行报价，纳入计算经济分。</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b/>
          <w:sz w:val="24"/>
          <w:szCs w:val="24"/>
        </w:rPr>
        <w:t>11、中标供应商应在中标后将本次招标设备所需配套使用耗材（试剂）在采购人驻地药交所平台挂网，且挂网价格不高于本次报价。否则不予签订设备采购合同</w:t>
      </w:r>
      <w:r>
        <w:rPr>
          <w:rFonts w:hint="eastAsia" w:cs="Arial" w:asciiTheme="minorEastAsia" w:hAnsiTheme="minorEastAsia"/>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435540980"/>
      <w:bookmarkStart w:id="10" w:name="_Toc285612601"/>
      <w:bookmarkStart w:id="11" w:name="_Toc240432230"/>
      <w:bookmarkStart w:id="12" w:name="_Toc390713968"/>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(3)专机配套耗材（试剂）明细表（附件3）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(1)投标函（附件4）</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(5)主要商务条款响应偏离表（附件8）</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(9)生产厂家售后服务承诺（进口设备由总代提供，附件12）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(12)技术评审表（附件14）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adjustRightInd w:val="0"/>
              <w:snapToGrid w:val="0"/>
              <w:spacing w:line="340" w:lineRule="atLeas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340" w:lineRule="atLeas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08"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Borders>
              <w:bottom w:val="single" w:color="auto" w:sz="4" w:space="0"/>
            </w:tcBorders>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价格分由设备价格分及专机配套耗材（试剂）价格分组成。</w:t>
            </w:r>
          </w:p>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p>
        </w:tc>
        <w:tc>
          <w:tcPr>
            <w:tcW w:w="708" w:type="dxa"/>
            <w:tcBorders>
              <w:bottom w:val="single" w:color="auto" w:sz="4" w:space="0"/>
            </w:tcBorders>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852"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7088" w:type="dxa"/>
            <w:gridSpan w:val="2"/>
            <w:tcBorders>
              <w:top w:val="single" w:color="auto" w:sz="4" w:space="0"/>
              <w:bottom w:val="single" w:color="auto" w:sz="4" w:space="0"/>
            </w:tcBorders>
          </w:tcPr>
          <w:p>
            <w:pPr>
              <w:adjustRightInd w:val="0"/>
              <w:snapToGrid w:val="0"/>
              <w:spacing w:line="340" w:lineRule="atLeas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设备价格分=（评审基准价/设备报价）×标准分值</w:t>
            </w:r>
          </w:p>
        </w:tc>
        <w:tc>
          <w:tcPr>
            <w:tcW w:w="708" w:type="dxa"/>
            <w:tcBorders>
              <w:top w:val="single" w:color="auto" w:sz="4" w:space="0"/>
              <w:bottom w:val="single" w:color="auto" w:sz="4" w:space="0"/>
            </w:tcBorders>
            <w:vAlign w:val="center"/>
          </w:tcPr>
          <w:p>
            <w:pPr>
              <w:adjustRightInd w:val="0"/>
              <w:snapToGrid w:val="0"/>
              <w:spacing w:line="340" w:lineRule="atLeas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852"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7088" w:type="dxa"/>
            <w:gridSpan w:val="2"/>
            <w:tcBorders>
              <w:top w:val="single" w:color="auto" w:sz="4" w:space="0"/>
            </w:tcBorders>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专机配套耗材（试剂）价格分=（评审基准价/耗材（试剂）报价）×标准分值</w:t>
            </w:r>
          </w:p>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b/>
                <w:kern w:val="0"/>
                <w:sz w:val="21"/>
                <w:szCs w:val="21"/>
              </w:rPr>
              <w:t>耗材（试剂）报价计算方法</w:t>
            </w:r>
            <w:r>
              <w:rPr>
                <w:rFonts w:hint="eastAsia" w:cs="Times New Roman" w:asciiTheme="majorEastAsia" w:hAnsiTheme="majorEastAsia" w:eastAsiaTheme="majorEastAsia"/>
                <w:kern w:val="0"/>
                <w:sz w:val="21"/>
                <w:szCs w:val="21"/>
              </w:rPr>
              <w:t>：血栓弹力图(普通杯)检测试剂盒单人份报价×3年预估用量+血栓弹力图(肝素酶杯)检测试剂盒单人份报价×3年预估用量+血小板聚集功能(ADP及AA途径)检测试剂盒单人份报价×3年预估用量+血小板聚集功能(ADP途径)检测试剂盒单人份报价×3年预估用量+血小板聚集功能(AA途径)检测试剂盒单人份报价×3年预估用量</w:t>
            </w:r>
          </w:p>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注：</w:t>
            </w:r>
          </w:p>
          <w:tbl>
            <w:tblPr>
              <w:tblStyle w:val="17"/>
              <w:tblW w:w="6690" w:type="dxa"/>
              <w:tblInd w:w="0" w:type="dxa"/>
              <w:tblLayout w:type="autofit"/>
              <w:tblCellMar>
                <w:top w:w="0" w:type="dxa"/>
                <w:left w:w="108" w:type="dxa"/>
                <w:bottom w:w="0" w:type="dxa"/>
                <w:right w:w="108" w:type="dxa"/>
              </w:tblCellMar>
            </w:tblPr>
            <w:tblGrid>
              <w:gridCol w:w="4287"/>
              <w:gridCol w:w="2403"/>
            </w:tblGrid>
            <w:tr>
              <w:tblPrEx>
                <w:tblCellMar>
                  <w:top w:w="0" w:type="dxa"/>
                  <w:left w:w="108" w:type="dxa"/>
                  <w:bottom w:w="0" w:type="dxa"/>
                  <w:right w:w="108" w:type="dxa"/>
                </w:tblCellMar>
              </w:tblPrEx>
              <w:trPr>
                <w:trHeight w:val="454" w:hRule="atLeast"/>
              </w:trPr>
              <w:tc>
                <w:tcPr>
                  <w:tcW w:w="428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val="0"/>
                    <w:snapToGrid w:val="0"/>
                    <w:spacing w:line="340" w:lineRule="atLeas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物资名称</w:t>
                  </w:r>
                </w:p>
              </w:tc>
              <w:tc>
                <w:tcPr>
                  <w:tcW w:w="2403" w:type="dxa"/>
                  <w:tcBorders>
                    <w:top w:val="single" w:color="auto" w:sz="8" w:space="0"/>
                    <w:left w:val="nil"/>
                    <w:bottom w:val="single" w:color="auto" w:sz="8" w:space="0"/>
                    <w:right w:val="single" w:color="auto" w:sz="8" w:space="0"/>
                  </w:tcBorders>
                  <w:shd w:val="clear" w:color="auto" w:fill="auto"/>
                  <w:vAlign w:val="center"/>
                </w:tcPr>
                <w:p>
                  <w:pPr>
                    <w:widowControl/>
                    <w:adjustRightInd w:val="0"/>
                    <w:snapToGrid w:val="0"/>
                    <w:spacing w:line="34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3年预估用量（人份）</w:t>
                  </w:r>
                </w:p>
              </w:tc>
            </w:tr>
            <w:tr>
              <w:tblPrEx>
                <w:tblCellMar>
                  <w:top w:w="0" w:type="dxa"/>
                  <w:left w:w="108" w:type="dxa"/>
                  <w:bottom w:w="0" w:type="dxa"/>
                  <w:right w:w="108" w:type="dxa"/>
                </w:tblCellMar>
              </w:tblPrEx>
              <w:trPr>
                <w:trHeight w:val="454" w:hRule="atLeast"/>
              </w:trPr>
              <w:tc>
                <w:tcPr>
                  <w:tcW w:w="4287"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40" w:lineRule="atLeas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血栓弹力图(普通杯)检测试剂盒</w:t>
                  </w:r>
                </w:p>
              </w:tc>
              <w:tc>
                <w:tcPr>
                  <w:tcW w:w="240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4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177600</w:t>
                  </w:r>
                </w:p>
              </w:tc>
            </w:tr>
            <w:tr>
              <w:tblPrEx>
                <w:tblCellMar>
                  <w:top w:w="0" w:type="dxa"/>
                  <w:left w:w="108" w:type="dxa"/>
                  <w:bottom w:w="0" w:type="dxa"/>
                  <w:right w:w="108" w:type="dxa"/>
                </w:tblCellMar>
              </w:tblPrEx>
              <w:trPr>
                <w:trHeight w:val="454" w:hRule="atLeast"/>
              </w:trPr>
              <w:tc>
                <w:tcPr>
                  <w:tcW w:w="4287"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40" w:lineRule="atLeas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血栓弹力图(肝素酶杯)检测试剂盒</w:t>
                  </w:r>
                </w:p>
              </w:tc>
              <w:tc>
                <w:tcPr>
                  <w:tcW w:w="240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4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3465</w:t>
                  </w:r>
                </w:p>
              </w:tc>
            </w:tr>
            <w:tr>
              <w:tblPrEx>
                <w:tblCellMar>
                  <w:top w:w="0" w:type="dxa"/>
                  <w:left w:w="108" w:type="dxa"/>
                  <w:bottom w:w="0" w:type="dxa"/>
                  <w:right w:w="108" w:type="dxa"/>
                </w:tblCellMar>
              </w:tblPrEx>
              <w:trPr>
                <w:trHeight w:val="454" w:hRule="atLeast"/>
              </w:trPr>
              <w:tc>
                <w:tcPr>
                  <w:tcW w:w="4287"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40" w:lineRule="atLeas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血小板聚集功能(ADP及AA途径)检测试剂盒</w:t>
                  </w:r>
                </w:p>
              </w:tc>
              <w:tc>
                <w:tcPr>
                  <w:tcW w:w="240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4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2500</w:t>
                  </w:r>
                </w:p>
              </w:tc>
            </w:tr>
            <w:tr>
              <w:tblPrEx>
                <w:tblCellMar>
                  <w:top w:w="0" w:type="dxa"/>
                  <w:left w:w="108" w:type="dxa"/>
                  <w:bottom w:w="0" w:type="dxa"/>
                  <w:right w:w="108" w:type="dxa"/>
                </w:tblCellMar>
              </w:tblPrEx>
              <w:trPr>
                <w:trHeight w:val="454" w:hRule="atLeast"/>
              </w:trPr>
              <w:tc>
                <w:tcPr>
                  <w:tcW w:w="4287"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40" w:lineRule="atLeas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血小板聚集功能(ADP途径)检测试剂盒</w:t>
                  </w:r>
                </w:p>
              </w:tc>
              <w:tc>
                <w:tcPr>
                  <w:tcW w:w="240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4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720</w:t>
                  </w:r>
                </w:p>
              </w:tc>
            </w:tr>
            <w:tr>
              <w:tblPrEx>
                <w:tblCellMar>
                  <w:top w:w="0" w:type="dxa"/>
                  <w:left w:w="108" w:type="dxa"/>
                  <w:bottom w:w="0" w:type="dxa"/>
                  <w:right w:w="108" w:type="dxa"/>
                </w:tblCellMar>
              </w:tblPrEx>
              <w:trPr>
                <w:trHeight w:val="454" w:hRule="atLeast"/>
              </w:trPr>
              <w:tc>
                <w:tcPr>
                  <w:tcW w:w="4287"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40" w:lineRule="atLeast"/>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血小板聚集功能(AA途径)检测试剂盒</w:t>
                  </w:r>
                </w:p>
              </w:tc>
              <w:tc>
                <w:tcPr>
                  <w:tcW w:w="240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40" w:lineRule="atLeas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800</w:t>
                  </w:r>
                </w:p>
              </w:tc>
            </w:tr>
          </w:tbl>
          <w:p>
            <w:pPr>
              <w:adjustRightInd w:val="0"/>
              <w:snapToGrid w:val="0"/>
              <w:spacing w:line="340" w:lineRule="atLeas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1"/>
                <w:szCs w:val="21"/>
              </w:rPr>
              <w:t xml:space="preserve"> </w:t>
            </w:r>
          </w:p>
        </w:tc>
        <w:tc>
          <w:tcPr>
            <w:tcW w:w="708" w:type="dxa"/>
            <w:tcBorders>
              <w:top w:val="single" w:color="auto" w:sz="4" w:space="0"/>
            </w:tcBorders>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0" w:hRule="atLeast"/>
        </w:trPr>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340" w:lineRule="atLeast"/>
              <w:rPr>
                <w:rFonts w:cs="Times New Roman" w:asciiTheme="majorEastAsia" w:hAnsiTheme="majorEastAsia" w:eastAsiaTheme="majorEastAsia"/>
                <w:kern w:val="0"/>
                <w:sz w:val="21"/>
                <w:szCs w:val="21"/>
              </w:rPr>
            </w:pPr>
          </w:p>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708"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40" w:lineRule="atLeas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（6分）</w:t>
            </w: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1分，最低得0分。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产品技术性能指标参数满足偏离情况（30分）</w:t>
            </w:r>
          </w:p>
        </w:tc>
        <w:tc>
          <w:tcPr>
            <w:tcW w:w="6946" w:type="dxa"/>
            <w:tcBorders>
              <w:bottom w:val="single" w:color="auto" w:sz="4" w:space="0"/>
            </w:tcBorders>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4.产品配置不齐全或性能用途与招标要求不符，“产品技术性能指标参数满足偏离情况”总得分为0分。 </w:t>
            </w:r>
          </w:p>
        </w:tc>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0"/>
                <w:szCs w:val="20"/>
              </w:rPr>
              <w:t>★</w:t>
            </w:r>
            <w:r>
              <w:rPr>
                <w:rFonts w:hint="eastAsia" w:cs="Times New Roman" w:asciiTheme="majorEastAsia" w:hAnsiTheme="majorEastAsia" w:eastAsiaTheme="majorEastAsia"/>
                <w:kern w:val="0"/>
                <w:sz w:val="21"/>
                <w:szCs w:val="21"/>
              </w:rPr>
              <w:t>检测原理：检测原理：电磁法检测，采用传统悬垂丝设计</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0"/>
                <w:szCs w:val="20"/>
              </w:rPr>
              <w:t>★</w:t>
            </w:r>
            <w:r>
              <w:rPr>
                <w:rFonts w:hint="eastAsia" w:cs="Times New Roman" w:asciiTheme="majorEastAsia" w:hAnsiTheme="majorEastAsia" w:eastAsiaTheme="majorEastAsia"/>
                <w:kern w:val="0"/>
                <w:sz w:val="21"/>
                <w:szCs w:val="21"/>
              </w:rPr>
              <w:t>仪器通道：单台仪器检测通道应≥四通道</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cs="Times New Roman" w:asciiTheme="majorEastAsia" w:hAnsiTheme="majorEastAsia" w:eastAsiaTheme="majorEastAsia"/>
                <w:kern w:val="0"/>
                <w:sz w:val="20"/>
                <w:szCs w:val="20"/>
              </w:rPr>
              <w:t>★</w:t>
            </w:r>
            <w:r>
              <w:rPr>
                <w:rFonts w:hint="eastAsia" w:cs="Times New Roman" w:asciiTheme="majorEastAsia" w:hAnsiTheme="majorEastAsia" w:eastAsiaTheme="majorEastAsia"/>
                <w:kern w:val="0"/>
                <w:sz w:val="21"/>
                <w:szCs w:val="21"/>
              </w:rPr>
              <w:t>自动化程度：仪器具备自动上下杯功能</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ajorEastAsia" w:hAnsiTheme="majorEastAsia" w:eastAsiaTheme="majorEastAsia"/>
                <w:kern w:val="0"/>
                <w:sz w:val="21"/>
                <w:szCs w:val="21"/>
              </w:rPr>
              <w:t>数据传输：双向 LIS 链接，数据与图像自动抓取上传。</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ajorEastAsia" w:hAnsiTheme="majorEastAsia" w:eastAsiaTheme="majorEastAsia"/>
                <w:kern w:val="0"/>
                <w:sz w:val="21"/>
                <w:szCs w:val="21"/>
              </w:rPr>
              <w:t>温度控制：每个通道均有独立温度控制系统，可根据需要调节</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ajorEastAsia" w:hAnsiTheme="majorEastAsia" w:eastAsiaTheme="majorEastAsia"/>
                <w:kern w:val="0"/>
                <w:sz w:val="21"/>
                <w:szCs w:val="21"/>
              </w:rPr>
              <w:t>具有原厂质控品可选</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一体机具备电容式触摸屏</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输出参数：R,K,ANGLE,MA,LY30，EPL，抑制率，MA</w:t>
            </w:r>
            <w:r>
              <w:rPr>
                <w:rFonts w:hint="eastAsia" w:cs="Times New Roman" w:asciiTheme="majorEastAsia" w:hAnsiTheme="majorEastAsia" w:eastAsiaTheme="majorEastAsia"/>
                <w:kern w:val="0"/>
                <w:sz w:val="21"/>
                <w:szCs w:val="21"/>
                <w:vertAlign w:val="subscript"/>
              </w:rPr>
              <w:t>ADP</w:t>
            </w:r>
            <w:r>
              <w:rPr>
                <w:rFonts w:hint="eastAsia" w:cs="Times New Roman" w:asciiTheme="majorEastAsia" w:hAnsiTheme="majorEastAsia" w:eastAsiaTheme="majorEastAsia"/>
                <w:kern w:val="0"/>
                <w:sz w:val="21"/>
                <w:szCs w:val="21"/>
              </w:rPr>
              <w:t>，MA</w:t>
            </w:r>
            <w:r>
              <w:rPr>
                <w:rFonts w:hint="eastAsia" w:cs="Times New Roman" w:asciiTheme="majorEastAsia" w:hAnsiTheme="majorEastAsia" w:eastAsiaTheme="majorEastAsia"/>
                <w:kern w:val="0"/>
                <w:sz w:val="21"/>
                <w:szCs w:val="21"/>
                <w:vertAlign w:val="subscript"/>
              </w:rPr>
              <w:t>AA</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精密度：所有配套试剂药监局批准的说明书上 CV 值小于 15%</w:t>
            </w:r>
            <w:bookmarkStart w:id="24" w:name="_GoBack"/>
            <w:bookmarkEnd w:id="24"/>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连续工作时间不低于 24 小时</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报告打印：中文结论+原图报告</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noWrap/>
          </w:tcPr>
          <w:p>
            <w:pPr>
              <w:adjustRightInd w:val="0"/>
              <w:snapToGrid w:val="0"/>
              <w:spacing w:line="340" w:lineRule="atLeas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试剂盒包含：普通杯、肝素酶杯、血小板聚集功能（AA及ADP途径）、质控品，且有效期≥12个月</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（4分）</w:t>
            </w:r>
          </w:p>
        </w:tc>
        <w:tc>
          <w:tcPr>
            <w:tcW w:w="6946" w:type="dxa"/>
          </w:tcPr>
          <w:p>
            <w:pPr>
              <w:adjustRightInd w:val="0"/>
              <w:snapToGrid w:val="0"/>
              <w:spacing w:line="340" w:lineRule="atLeas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tcPr>
          <w:p>
            <w:pPr>
              <w:adjustRightInd w:val="0"/>
              <w:snapToGrid w:val="0"/>
              <w:spacing w:line="340" w:lineRule="atLeas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tcPr>
          <w:p>
            <w:pPr>
              <w:adjustRightInd w:val="0"/>
              <w:snapToGrid w:val="0"/>
              <w:spacing w:line="340" w:lineRule="atLeas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tcPr>
          <w:p>
            <w:pPr>
              <w:adjustRightInd w:val="0"/>
              <w:snapToGrid w:val="0"/>
              <w:spacing w:line="340" w:lineRule="atLeas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50%比例递减，最低得0分。三分之二以上技术专家认为不合理的得0分。</w:t>
            </w:r>
          </w:p>
        </w:tc>
        <w:tc>
          <w:tcPr>
            <w:tcW w:w="708" w:type="dxa"/>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340" w:lineRule="atLeas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保修期外维修费用：保修期外的包修费用及维修工时费计算方法及价格，按厂家自报排名，费用最低的得标准分值，依次按标准分值50%递减，最低得0分。</w:t>
            </w:r>
          </w:p>
        </w:tc>
        <w:tc>
          <w:tcPr>
            <w:tcW w:w="708" w:type="dxa"/>
            <w:tcBorders>
              <w:bottom w:val="single" w:color="auto" w:sz="4" w:space="0"/>
            </w:tcBorders>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6" w:hRule="atLeast"/>
        </w:trPr>
        <w:tc>
          <w:tcPr>
            <w:tcW w:w="708" w:type="dxa"/>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340" w:lineRule="atLeas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1.产品和品牌具有较高知名度及广泛普及度，提供指定地点的现场服务支持，具备全国各主要省份的售后服务网络和对应的24小时服务支持热线且技术力量能满足部队维修服务需求的得0.25分，不满足得0分；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2.根据指定地点的服务网点数量排名，第一名得0.25分，依次按标准分值50%递减，最低得0分。</w:t>
            </w:r>
          </w:p>
        </w:tc>
        <w:tc>
          <w:tcPr>
            <w:tcW w:w="708" w:type="dxa"/>
            <w:tcBorders>
              <w:bottom w:val="single" w:color="auto" w:sz="4" w:space="0"/>
            </w:tcBorders>
            <w:vAlign w:val="center"/>
          </w:tcPr>
          <w:p>
            <w:pPr>
              <w:adjustRightInd w:val="0"/>
              <w:snapToGrid w:val="0"/>
              <w:spacing w:line="340" w:lineRule="atLeas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708" w:type="dxa"/>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340" w:lineRule="atLeas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340" w:lineRule="atLeas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340" w:lineRule="atLeas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285612603"/>
      <w:bookmarkStart w:id="16" w:name="_Toc435540981"/>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55"/>
                <w:kern w:val="0"/>
                <w:szCs w:val="21"/>
                <w:fitText w:val="1170" w:id="0"/>
              </w:rPr>
              <w:t>单位名</w:t>
            </w:r>
            <w:r>
              <w:rPr>
                <w:rFonts w:hint="eastAsia" w:ascii="宋体" w:hAnsi="宋体" w:eastAsia="宋体" w:cs="Times New Roman"/>
                <w:bCs/>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
              </w:rPr>
              <w:t>单位名</w:t>
            </w:r>
            <w:r>
              <w:rPr>
                <w:rFonts w:hint="eastAsia" w:ascii="宋体" w:hAnsi="宋体" w:eastAsia="宋体" w:cs="Times New Roman"/>
                <w:bCs/>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2"/>
              </w:rPr>
              <w:t>法定代表</w:t>
            </w:r>
            <w:r>
              <w:rPr>
                <w:rFonts w:hint="eastAsia" w:ascii="宋体" w:hAnsi="宋体" w:eastAsia="宋体" w:cs="Times New Roman"/>
                <w:bCs/>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3"/>
              </w:rPr>
              <w:t>法定代表</w:t>
            </w:r>
            <w:r>
              <w:rPr>
                <w:rFonts w:hint="eastAsia" w:ascii="宋体" w:hAnsi="宋体" w:eastAsia="宋体" w:cs="Times New Roman"/>
                <w:bCs/>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4"/>
              </w:rPr>
              <w:t>委托代理</w:t>
            </w:r>
            <w:r>
              <w:rPr>
                <w:rFonts w:hint="eastAsia" w:ascii="宋体" w:hAnsi="宋体" w:eastAsia="宋体" w:cs="Times New Roman"/>
                <w:bCs/>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5"/>
              </w:rPr>
              <w:t>委托代理</w:t>
            </w:r>
            <w:r>
              <w:rPr>
                <w:rFonts w:hint="eastAsia" w:ascii="宋体" w:hAnsi="宋体" w:eastAsia="宋体" w:cs="Times New Roman"/>
                <w:bCs/>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6"/>
              </w:rPr>
              <w:t>联系</w:t>
            </w:r>
            <w:r>
              <w:rPr>
                <w:rFonts w:hint="eastAsia" w:ascii="宋体" w:hAnsi="宋体" w:eastAsia="宋体" w:cs="Times New Roman"/>
                <w:bCs/>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7"/>
              </w:rPr>
              <w:t>联系</w:t>
            </w:r>
            <w:r>
              <w:rPr>
                <w:rFonts w:hint="eastAsia" w:ascii="宋体" w:hAnsi="宋体" w:eastAsia="宋体" w:cs="Times New Roman"/>
                <w:bCs/>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8"/>
              </w:rPr>
              <w:t>联系电</w:t>
            </w:r>
            <w:r>
              <w:rPr>
                <w:rFonts w:hint="eastAsia" w:ascii="宋体" w:hAnsi="宋体" w:eastAsia="宋体" w:cs="Times New Roman"/>
                <w:bCs/>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9"/>
              </w:rPr>
              <w:t>联系电</w:t>
            </w:r>
            <w:r>
              <w:rPr>
                <w:rFonts w:hint="eastAsia" w:ascii="宋体" w:hAnsi="宋体" w:eastAsia="宋体" w:cs="Times New Roman"/>
                <w:bCs/>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0"/>
              </w:rPr>
              <w:t>通讯地</w:t>
            </w:r>
            <w:r>
              <w:rPr>
                <w:rFonts w:hint="eastAsia" w:ascii="宋体" w:hAnsi="宋体" w:eastAsia="宋体" w:cs="Times New Roman"/>
                <w:bCs/>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1"/>
              </w:rPr>
              <w:t>通讯地</w:t>
            </w:r>
            <w:r>
              <w:rPr>
                <w:rFonts w:hint="eastAsia" w:ascii="宋体" w:hAnsi="宋体" w:eastAsia="宋体" w:cs="Times New Roman"/>
                <w:bCs/>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2"/>
              </w:rPr>
              <w:t>邮政编</w:t>
            </w:r>
            <w:r>
              <w:rPr>
                <w:rFonts w:hint="eastAsia" w:ascii="宋体" w:hAnsi="宋体" w:eastAsia="宋体" w:cs="Times New Roman"/>
                <w:bCs/>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3"/>
              </w:rPr>
              <w:t>邮政编</w:t>
            </w:r>
            <w:r>
              <w:rPr>
                <w:rFonts w:hint="eastAsia" w:ascii="宋体" w:hAnsi="宋体" w:eastAsia="宋体" w:cs="Times New Roman"/>
                <w:bCs/>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4"/>
              </w:rPr>
              <w:t>付款单</w:t>
            </w:r>
            <w:r>
              <w:rPr>
                <w:rFonts w:hint="eastAsia" w:ascii="宋体" w:hAnsi="宋体" w:eastAsia="宋体" w:cs="Times New Roman"/>
                <w:bCs/>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5"/>
              </w:rPr>
              <w:t>开户名</w:t>
            </w:r>
            <w:r>
              <w:rPr>
                <w:rFonts w:hint="eastAsia" w:ascii="宋体" w:hAnsi="宋体" w:eastAsia="宋体" w:cs="Times New Roman"/>
                <w:bCs/>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6"/>
              </w:rPr>
              <w:t>开户银</w:t>
            </w:r>
            <w:r>
              <w:rPr>
                <w:rFonts w:hint="eastAsia" w:ascii="宋体" w:hAnsi="宋体" w:eastAsia="宋体" w:cs="Times New Roman"/>
                <w:bCs/>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7"/>
              </w:rPr>
              <w:t>开户银</w:t>
            </w:r>
            <w:r>
              <w:rPr>
                <w:rFonts w:hint="eastAsia" w:ascii="宋体" w:hAnsi="宋体" w:eastAsia="宋体" w:cs="Times New Roman"/>
                <w:bCs/>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8"/>
              </w:rPr>
              <w:t>银行账</w:t>
            </w:r>
            <w:r>
              <w:rPr>
                <w:rFonts w:hint="eastAsia" w:ascii="宋体" w:hAnsi="宋体" w:eastAsia="宋体" w:cs="Times New Roman"/>
                <w:bCs/>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9"/>
              </w:rPr>
              <w:t>银行账</w:t>
            </w:r>
            <w:r>
              <w:rPr>
                <w:rFonts w:hint="eastAsia" w:ascii="宋体" w:hAnsi="宋体" w:eastAsia="宋体" w:cs="Times New Roman"/>
                <w:bCs/>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390713970"/>
      <w:bookmarkStart w:id="20" w:name="_Toc435540982"/>
      <w:bookmarkStart w:id="21" w:name="_Toc240432233"/>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71"/>
        <w:gridCol w:w="1843"/>
        <w:gridCol w:w="1559"/>
        <w:gridCol w:w="1559"/>
        <w:gridCol w:w="2410"/>
        <w:gridCol w:w="212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序号</w:t>
            </w:r>
          </w:p>
        </w:tc>
        <w:tc>
          <w:tcPr>
            <w:tcW w:w="2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物资名称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规格型号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原产地</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医疗器械注册证号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报价</w:t>
            </w:r>
          </w:p>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（人份/元）</w:t>
            </w: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1</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血栓弹力图(普通杯)检测试剂盒</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2</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血栓弹力图(肝素酶杯)检测试剂盒</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3</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血小板聚集功能(ADP及AA途径)检测试剂盒</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4</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血小板聚集功能(ADP途径)检测试剂盒</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5</w:t>
            </w:r>
          </w:p>
        </w:tc>
        <w:tc>
          <w:tcPr>
            <w:tcW w:w="25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血小板聚集功能(AA途径)检测试剂盒</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r>
    </w:tbl>
    <w:p>
      <w:pPr>
        <w:tabs>
          <w:tab w:val="left" w:pos="804"/>
        </w:tabs>
        <w:rPr>
          <w:rFonts w:ascii="Times New Roman" w:hAnsi="Times New Roman" w:eastAsia="宋体" w:cs="Times New Roman"/>
          <w:b/>
          <w:kern w:val="0"/>
          <w:szCs w:val="21"/>
        </w:rPr>
      </w:pPr>
    </w:p>
    <w:p>
      <w:pPr>
        <w:tabs>
          <w:tab w:val="left" w:pos="804"/>
        </w:tabs>
        <w:rPr>
          <w:rFonts w:ascii="Times New Roman" w:hAnsi="Times New Roman" w:eastAsia="宋体" w:cs="Times New Roman"/>
          <w:b/>
          <w:kern w:val="0"/>
          <w:szCs w:val="21"/>
        </w:rPr>
      </w:pPr>
      <w:r>
        <w:rPr>
          <w:rFonts w:hint="eastAsia" w:ascii="Times New Roman" w:hAnsi="Times New Roman" w:eastAsia="宋体" w:cs="Times New Roman"/>
          <w:b/>
          <w:kern w:val="0"/>
          <w:szCs w:val="21"/>
        </w:rPr>
        <w:t>注：1.专机配套耗材（试剂）报价将纳入计算经济分</w:t>
      </w:r>
    </w:p>
    <w:p>
      <w:pPr>
        <w:tabs>
          <w:tab w:val="left" w:pos="804"/>
        </w:tabs>
        <w:ind w:firstLine="407" w:firstLineChars="193"/>
        <w:rPr>
          <w:rFonts w:ascii="Times New Roman" w:hAnsi="Times New Roman" w:eastAsia="宋体" w:cs="Times New Roman"/>
          <w:b/>
          <w:kern w:val="0"/>
          <w:szCs w:val="21"/>
        </w:rPr>
      </w:pPr>
      <w:r>
        <w:rPr>
          <w:rFonts w:hint="eastAsia" w:ascii="Times New Roman" w:hAnsi="Times New Roman" w:eastAsia="宋体" w:cs="Times New Roman"/>
          <w:b/>
          <w:kern w:val="0"/>
          <w:szCs w:val="21"/>
        </w:rPr>
        <w:t>2.投标人至少须对以上表格中注明5种耗材（试剂）全部报价，若报价不全，则视为无效报价。</w:t>
      </w:r>
    </w:p>
    <w:p>
      <w:pPr>
        <w:tabs>
          <w:tab w:val="left" w:pos="804"/>
        </w:tabs>
        <w:ind w:firstLine="413" w:firstLineChars="196"/>
        <w:rPr>
          <w:rFonts w:ascii="Times New Roman" w:hAnsi="Times New Roman" w:eastAsia="宋体" w:cs="Times New Roman"/>
          <w:b/>
          <w:kern w:val="0"/>
          <w:szCs w:val="21"/>
        </w:rPr>
      </w:pPr>
      <w:r>
        <w:rPr>
          <w:rFonts w:hint="eastAsia" w:ascii="Times New Roman" w:hAnsi="Times New Roman" w:eastAsia="宋体" w:cs="Times New Roman"/>
          <w:b/>
          <w:kern w:val="0"/>
          <w:szCs w:val="21"/>
        </w:rPr>
        <w:t>3.所有试剂盒均按单人份报价。</w:t>
      </w: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投标人全称：（盖章）                                                法定代表人（或授权代表）：（签字或盖章）   </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ind w:firstLine="10680" w:firstLineChars="4450"/>
        <w:rPr>
          <w:rFonts w:ascii="宋体" w:hAnsi="宋体" w:eastAsia="宋体" w:cs="Times New Roman"/>
          <w:kern w:val="0"/>
          <w:sz w:val="24"/>
          <w:szCs w:val="24"/>
        </w:rPr>
      </w:pPr>
      <w:r>
        <w:rPr>
          <w:rFonts w:hint="eastAsia" w:ascii="宋体" w:hAnsi="宋体" w:eastAsia="宋体" w:cs="Times New Roman"/>
          <w:kern w:val="0"/>
          <w:sz w:val="24"/>
          <w:szCs w:val="24"/>
        </w:rPr>
        <w:t>年  月  日</w:t>
      </w:r>
    </w:p>
    <w:p>
      <w:pPr>
        <w:rPr>
          <w:rFonts w:ascii="黑体" w:hAnsi="黑体" w:eastAsia="黑体" w:cs="Times New Roman"/>
          <w:kern w:val="0"/>
          <w:sz w:val="32"/>
          <w:szCs w:val="32"/>
        </w:rPr>
      </w:pPr>
    </w:p>
    <w:p>
      <w:pP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附件4</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31</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416"/>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3DD9"/>
    <w:rsid w:val="00074448"/>
    <w:rsid w:val="000744D5"/>
    <w:rsid w:val="000803AF"/>
    <w:rsid w:val="00085564"/>
    <w:rsid w:val="000879CB"/>
    <w:rsid w:val="00090C0E"/>
    <w:rsid w:val="00092481"/>
    <w:rsid w:val="00094144"/>
    <w:rsid w:val="00094D66"/>
    <w:rsid w:val="000A01D4"/>
    <w:rsid w:val="000A06E7"/>
    <w:rsid w:val="000A0899"/>
    <w:rsid w:val="000A1FBF"/>
    <w:rsid w:val="000A47EE"/>
    <w:rsid w:val="000A6CE0"/>
    <w:rsid w:val="000A77FA"/>
    <w:rsid w:val="000B0A52"/>
    <w:rsid w:val="000B1714"/>
    <w:rsid w:val="000B1F30"/>
    <w:rsid w:val="000B4FE3"/>
    <w:rsid w:val="000C67A2"/>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46138"/>
    <w:rsid w:val="0015050A"/>
    <w:rsid w:val="001509A9"/>
    <w:rsid w:val="00153080"/>
    <w:rsid w:val="00154A37"/>
    <w:rsid w:val="00155AB8"/>
    <w:rsid w:val="00156746"/>
    <w:rsid w:val="00160CAA"/>
    <w:rsid w:val="00161C89"/>
    <w:rsid w:val="00163061"/>
    <w:rsid w:val="001630E5"/>
    <w:rsid w:val="0016323B"/>
    <w:rsid w:val="001670CC"/>
    <w:rsid w:val="00170A53"/>
    <w:rsid w:val="00170CAC"/>
    <w:rsid w:val="001723F0"/>
    <w:rsid w:val="00172E51"/>
    <w:rsid w:val="0017341B"/>
    <w:rsid w:val="00181519"/>
    <w:rsid w:val="001842B9"/>
    <w:rsid w:val="00184BEA"/>
    <w:rsid w:val="00185DCC"/>
    <w:rsid w:val="00185E33"/>
    <w:rsid w:val="00187DDD"/>
    <w:rsid w:val="00190499"/>
    <w:rsid w:val="001946ED"/>
    <w:rsid w:val="00194A09"/>
    <w:rsid w:val="00195A35"/>
    <w:rsid w:val="001967E6"/>
    <w:rsid w:val="001A1DAD"/>
    <w:rsid w:val="001A2431"/>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4EE2"/>
    <w:rsid w:val="00217694"/>
    <w:rsid w:val="00217B83"/>
    <w:rsid w:val="00220449"/>
    <w:rsid w:val="00220BEB"/>
    <w:rsid w:val="00222099"/>
    <w:rsid w:val="002246D0"/>
    <w:rsid w:val="002253F6"/>
    <w:rsid w:val="00230E9D"/>
    <w:rsid w:val="00235E78"/>
    <w:rsid w:val="002367B0"/>
    <w:rsid w:val="002400C7"/>
    <w:rsid w:val="002400C9"/>
    <w:rsid w:val="00241372"/>
    <w:rsid w:val="00244F73"/>
    <w:rsid w:val="0025364F"/>
    <w:rsid w:val="00254550"/>
    <w:rsid w:val="00255ABB"/>
    <w:rsid w:val="002579DE"/>
    <w:rsid w:val="00262608"/>
    <w:rsid w:val="002662C2"/>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5826"/>
    <w:rsid w:val="002C6A11"/>
    <w:rsid w:val="002C7079"/>
    <w:rsid w:val="002C7283"/>
    <w:rsid w:val="002D0966"/>
    <w:rsid w:val="002D331A"/>
    <w:rsid w:val="002D43F5"/>
    <w:rsid w:val="002D5161"/>
    <w:rsid w:val="002D5B51"/>
    <w:rsid w:val="002E011C"/>
    <w:rsid w:val="002E0A0C"/>
    <w:rsid w:val="002E3D9F"/>
    <w:rsid w:val="002E4971"/>
    <w:rsid w:val="002F1927"/>
    <w:rsid w:val="003027C7"/>
    <w:rsid w:val="00302A57"/>
    <w:rsid w:val="00302A79"/>
    <w:rsid w:val="00302BCC"/>
    <w:rsid w:val="00307FC7"/>
    <w:rsid w:val="00310302"/>
    <w:rsid w:val="00312142"/>
    <w:rsid w:val="00314ADF"/>
    <w:rsid w:val="00317B20"/>
    <w:rsid w:val="00320702"/>
    <w:rsid w:val="0032757D"/>
    <w:rsid w:val="0032766C"/>
    <w:rsid w:val="003276E6"/>
    <w:rsid w:val="00333901"/>
    <w:rsid w:val="00335EF0"/>
    <w:rsid w:val="00336DFF"/>
    <w:rsid w:val="0034066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962ED"/>
    <w:rsid w:val="003A1E13"/>
    <w:rsid w:val="003A4FC9"/>
    <w:rsid w:val="003B0536"/>
    <w:rsid w:val="003B0652"/>
    <w:rsid w:val="003B3F4B"/>
    <w:rsid w:val="003B44D4"/>
    <w:rsid w:val="003B50D8"/>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5E96"/>
    <w:rsid w:val="00426402"/>
    <w:rsid w:val="0042719D"/>
    <w:rsid w:val="004350C6"/>
    <w:rsid w:val="004359C8"/>
    <w:rsid w:val="00435AE4"/>
    <w:rsid w:val="004404EB"/>
    <w:rsid w:val="00441D08"/>
    <w:rsid w:val="00443086"/>
    <w:rsid w:val="00443F77"/>
    <w:rsid w:val="00447B5D"/>
    <w:rsid w:val="00447DED"/>
    <w:rsid w:val="00452784"/>
    <w:rsid w:val="00453C16"/>
    <w:rsid w:val="004559AE"/>
    <w:rsid w:val="00455BD3"/>
    <w:rsid w:val="0045635E"/>
    <w:rsid w:val="00456462"/>
    <w:rsid w:val="004569F6"/>
    <w:rsid w:val="00456AED"/>
    <w:rsid w:val="00457F64"/>
    <w:rsid w:val="0046063F"/>
    <w:rsid w:val="00463F09"/>
    <w:rsid w:val="00464557"/>
    <w:rsid w:val="00471BF6"/>
    <w:rsid w:val="00472142"/>
    <w:rsid w:val="00473587"/>
    <w:rsid w:val="00475253"/>
    <w:rsid w:val="00476D8F"/>
    <w:rsid w:val="004817C9"/>
    <w:rsid w:val="0048184A"/>
    <w:rsid w:val="004855DB"/>
    <w:rsid w:val="00486FAC"/>
    <w:rsid w:val="00490B39"/>
    <w:rsid w:val="0049116F"/>
    <w:rsid w:val="00497561"/>
    <w:rsid w:val="004A2AB0"/>
    <w:rsid w:val="004A51A4"/>
    <w:rsid w:val="004B3316"/>
    <w:rsid w:val="004B7A68"/>
    <w:rsid w:val="004C0B0A"/>
    <w:rsid w:val="004C1A39"/>
    <w:rsid w:val="004C6028"/>
    <w:rsid w:val="004C6962"/>
    <w:rsid w:val="004C7646"/>
    <w:rsid w:val="004D09D9"/>
    <w:rsid w:val="004D23FB"/>
    <w:rsid w:val="004D350D"/>
    <w:rsid w:val="004D48E0"/>
    <w:rsid w:val="004E037D"/>
    <w:rsid w:val="004E0BAB"/>
    <w:rsid w:val="004E162D"/>
    <w:rsid w:val="004E18EC"/>
    <w:rsid w:val="004E3F98"/>
    <w:rsid w:val="004E60AD"/>
    <w:rsid w:val="004F4BBC"/>
    <w:rsid w:val="004F53DA"/>
    <w:rsid w:val="004F5759"/>
    <w:rsid w:val="005016FA"/>
    <w:rsid w:val="00501BD3"/>
    <w:rsid w:val="005026E6"/>
    <w:rsid w:val="00505765"/>
    <w:rsid w:val="00505E0B"/>
    <w:rsid w:val="00506149"/>
    <w:rsid w:val="00506678"/>
    <w:rsid w:val="0051161F"/>
    <w:rsid w:val="00512A58"/>
    <w:rsid w:val="00514365"/>
    <w:rsid w:val="005143F2"/>
    <w:rsid w:val="00516724"/>
    <w:rsid w:val="00516B4E"/>
    <w:rsid w:val="00517248"/>
    <w:rsid w:val="005219F7"/>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525"/>
    <w:rsid w:val="00577C87"/>
    <w:rsid w:val="0058033F"/>
    <w:rsid w:val="00592954"/>
    <w:rsid w:val="00593668"/>
    <w:rsid w:val="005A03AA"/>
    <w:rsid w:val="005A4B13"/>
    <w:rsid w:val="005A4B8A"/>
    <w:rsid w:val="005A63B3"/>
    <w:rsid w:val="005B1A5E"/>
    <w:rsid w:val="005B2EA3"/>
    <w:rsid w:val="005B3948"/>
    <w:rsid w:val="005C0D9D"/>
    <w:rsid w:val="005C1F06"/>
    <w:rsid w:val="005C308E"/>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1C14"/>
    <w:rsid w:val="0067234D"/>
    <w:rsid w:val="006753D8"/>
    <w:rsid w:val="00680410"/>
    <w:rsid w:val="00681868"/>
    <w:rsid w:val="006819DA"/>
    <w:rsid w:val="00682719"/>
    <w:rsid w:val="00684B77"/>
    <w:rsid w:val="0068595F"/>
    <w:rsid w:val="00690B81"/>
    <w:rsid w:val="006933F0"/>
    <w:rsid w:val="00695F8D"/>
    <w:rsid w:val="006962AD"/>
    <w:rsid w:val="0069676E"/>
    <w:rsid w:val="006979A0"/>
    <w:rsid w:val="006A120F"/>
    <w:rsid w:val="006A16F5"/>
    <w:rsid w:val="006A5FB4"/>
    <w:rsid w:val="006A7511"/>
    <w:rsid w:val="006B21E6"/>
    <w:rsid w:val="006B3561"/>
    <w:rsid w:val="006B45F4"/>
    <w:rsid w:val="006B4DF0"/>
    <w:rsid w:val="006B7C2C"/>
    <w:rsid w:val="006C1CF4"/>
    <w:rsid w:val="006C2BE6"/>
    <w:rsid w:val="006C45C6"/>
    <w:rsid w:val="006C4797"/>
    <w:rsid w:val="006C6901"/>
    <w:rsid w:val="006C7151"/>
    <w:rsid w:val="006D2217"/>
    <w:rsid w:val="006E23C5"/>
    <w:rsid w:val="006E3186"/>
    <w:rsid w:val="006E4137"/>
    <w:rsid w:val="006E423C"/>
    <w:rsid w:val="006E44DC"/>
    <w:rsid w:val="006E732A"/>
    <w:rsid w:val="006F116B"/>
    <w:rsid w:val="006F20D7"/>
    <w:rsid w:val="006F4A93"/>
    <w:rsid w:val="006F621C"/>
    <w:rsid w:val="00700EA9"/>
    <w:rsid w:val="00701994"/>
    <w:rsid w:val="007048F0"/>
    <w:rsid w:val="00705C57"/>
    <w:rsid w:val="00706B94"/>
    <w:rsid w:val="00707587"/>
    <w:rsid w:val="00712CBC"/>
    <w:rsid w:val="007144A6"/>
    <w:rsid w:val="007154D8"/>
    <w:rsid w:val="00723750"/>
    <w:rsid w:val="0072438F"/>
    <w:rsid w:val="00724A15"/>
    <w:rsid w:val="00724F47"/>
    <w:rsid w:val="007264A9"/>
    <w:rsid w:val="00726DAE"/>
    <w:rsid w:val="007270F6"/>
    <w:rsid w:val="007302D1"/>
    <w:rsid w:val="007335ED"/>
    <w:rsid w:val="00733A42"/>
    <w:rsid w:val="00733BDD"/>
    <w:rsid w:val="00733F31"/>
    <w:rsid w:val="00742283"/>
    <w:rsid w:val="00750539"/>
    <w:rsid w:val="00751CB1"/>
    <w:rsid w:val="00756B53"/>
    <w:rsid w:val="00760AB4"/>
    <w:rsid w:val="00765BBC"/>
    <w:rsid w:val="00767719"/>
    <w:rsid w:val="00767AAD"/>
    <w:rsid w:val="0077100A"/>
    <w:rsid w:val="0077103A"/>
    <w:rsid w:val="00771F5D"/>
    <w:rsid w:val="00772B5D"/>
    <w:rsid w:val="007731DA"/>
    <w:rsid w:val="0077339D"/>
    <w:rsid w:val="0077559A"/>
    <w:rsid w:val="00776432"/>
    <w:rsid w:val="007764C1"/>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14E"/>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2E7"/>
    <w:rsid w:val="00810E36"/>
    <w:rsid w:val="00813A34"/>
    <w:rsid w:val="00817F8B"/>
    <w:rsid w:val="00820413"/>
    <w:rsid w:val="00820845"/>
    <w:rsid w:val="0082198C"/>
    <w:rsid w:val="00825390"/>
    <w:rsid w:val="0083046E"/>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676F8"/>
    <w:rsid w:val="00871A2A"/>
    <w:rsid w:val="00871AA1"/>
    <w:rsid w:val="008731D1"/>
    <w:rsid w:val="00881A2F"/>
    <w:rsid w:val="008879B2"/>
    <w:rsid w:val="00890364"/>
    <w:rsid w:val="00892407"/>
    <w:rsid w:val="00894FD2"/>
    <w:rsid w:val="00895983"/>
    <w:rsid w:val="008A0E95"/>
    <w:rsid w:val="008A3925"/>
    <w:rsid w:val="008A5296"/>
    <w:rsid w:val="008A707C"/>
    <w:rsid w:val="008B40F1"/>
    <w:rsid w:val="008B5D3A"/>
    <w:rsid w:val="008B7F5D"/>
    <w:rsid w:val="008C012A"/>
    <w:rsid w:val="008C22E2"/>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585A"/>
    <w:rsid w:val="00936837"/>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C6DE5"/>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6F74"/>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644"/>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668BC"/>
    <w:rsid w:val="00B70AC4"/>
    <w:rsid w:val="00B74023"/>
    <w:rsid w:val="00B74539"/>
    <w:rsid w:val="00B80255"/>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16AB"/>
    <w:rsid w:val="00BF571D"/>
    <w:rsid w:val="00BF60B1"/>
    <w:rsid w:val="00BF6A61"/>
    <w:rsid w:val="00C0287F"/>
    <w:rsid w:val="00C02CD6"/>
    <w:rsid w:val="00C03359"/>
    <w:rsid w:val="00C05979"/>
    <w:rsid w:val="00C05988"/>
    <w:rsid w:val="00C05E71"/>
    <w:rsid w:val="00C116BF"/>
    <w:rsid w:val="00C11807"/>
    <w:rsid w:val="00C1522D"/>
    <w:rsid w:val="00C17C0C"/>
    <w:rsid w:val="00C17E1B"/>
    <w:rsid w:val="00C257E3"/>
    <w:rsid w:val="00C3022B"/>
    <w:rsid w:val="00C3311B"/>
    <w:rsid w:val="00C41960"/>
    <w:rsid w:val="00C4330B"/>
    <w:rsid w:val="00C43C6F"/>
    <w:rsid w:val="00C475A2"/>
    <w:rsid w:val="00C5179F"/>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5D26"/>
    <w:rsid w:val="00CB63F6"/>
    <w:rsid w:val="00CC788E"/>
    <w:rsid w:val="00CD1389"/>
    <w:rsid w:val="00CD3A99"/>
    <w:rsid w:val="00CD408F"/>
    <w:rsid w:val="00CD46E0"/>
    <w:rsid w:val="00CD58CF"/>
    <w:rsid w:val="00CE16C5"/>
    <w:rsid w:val="00CE2D97"/>
    <w:rsid w:val="00CE3C32"/>
    <w:rsid w:val="00CE48C7"/>
    <w:rsid w:val="00CF0024"/>
    <w:rsid w:val="00CF40F3"/>
    <w:rsid w:val="00CF4B59"/>
    <w:rsid w:val="00CF5B6D"/>
    <w:rsid w:val="00CF644A"/>
    <w:rsid w:val="00CF699B"/>
    <w:rsid w:val="00CF6D7C"/>
    <w:rsid w:val="00D03D3C"/>
    <w:rsid w:val="00D06FF8"/>
    <w:rsid w:val="00D10DF2"/>
    <w:rsid w:val="00D15E56"/>
    <w:rsid w:val="00D1612C"/>
    <w:rsid w:val="00D16290"/>
    <w:rsid w:val="00D162FA"/>
    <w:rsid w:val="00D168DD"/>
    <w:rsid w:val="00D17A0C"/>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1CB6"/>
    <w:rsid w:val="00DA3CE5"/>
    <w:rsid w:val="00DA48E1"/>
    <w:rsid w:val="00DA4AA0"/>
    <w:rsid w:val="00DA518F"/>
    <w:rsid w:val="00DB0D05"/>
    <w:rsid w:val="00DB1953"/>
    <w:rsid w:val="00DB3B93"/>
    <w:rsid w:val="00DB5A86"/>
    <w:rsid w:val="00DB7520"/>
    <w:rsid w:val="00DC1D0F"/>
    <w:rsid w:val="00DC3528"/>
    <w:rsid w:val="00DC4321"/>
    <w:rsid w:val="00DC6423"/>
    <w:rsid w:val="00DD153E"/>
    <w:rsid w:val="00DD2C6F"/>
    <w:rsid w:val="00DD45CF"/>
    <w:rsid w:val="00DE009D"/>
    <w:rsid w:val="00DE45D1"/>
    <w:rsid w:val="00DE7B31"/>
    <w:rsid w:val="00DF1C4D"/>
    <w:rsid w:val="00DF28D9"/>
    <w:rsid w:val="00DF6112"/>
    <w:rsid w:val="00DF6760"/>
    <w:rsid w:val="00E0008D"/>
    <w:rsid w:val="00E016D8"/>
    <w:rsid w:val="00E03D99"/>
    <w:rsid w:val="00E048AE"/>
    <w:rsid w:val="00E06573"/>
    <w:rsid w:val="00E06D28"/>
    <w:rsid w:val="00E14E70"/>
    <w:rsid w:val="00E156DA"/>
    <w:rsid w:val="00E16F6C"/>
    <w:rsid w:val="00E225F7"/>
    <w:rsid w:val="00E270B5"/>
    <w:rsid w:val="00E36E55"/>
    <w:rsid w:val="00E374ED"/>
    <w:rsid w:val="00E40040"/>
    <w:rsid w:val="00E4209B"/>
    <w:rsid w:val="00E426FF"/>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1B85"/>
    <w:rsid w:val="00EC40D0"/>
    <w:rsid w:val="00EC4B43"/>
    <w:rsid w:val="00EC6918"/>
    <w:rsid w:val="00EC6932"/>
    <w:rsid w:val="00EC6B72"/>
    <w:rsid w:val="00ED05D5"/>
    <w:rsid w:val="00ED2949"/>
    <w:rsid w:val="00ED5C76"/>
    <w:rsid w:val="00ED78A2"/>
    <w:rsid w:val="00EE05DE"/>
    <w:rsid w:val="00EE4199"/>
    <w:rsid w:val="00EE5EF0"/>
    <w:rsid w:val="00EF3F37"/>
    <w:rsid w:val="00F04056"/>
    <w:rsid w:val="00F07135"/>
    <w:rsid w:val="00F07E6A"/>
    <w:rsid w:val="00F10D6E"/>
    <w:rsid w:val="00F125D8"/>
    <w:rsid w:val="00F1490A"/>
    <w:rsid w:val="00F16EEB"/>
    <w:rsid w:val="00F2090E"/>
    <w:rsid w:val="00F213F7"/>
    <w:rsid w:val="00F33B8D"/>
    <w:rsid w:val="00F34D85"/>
    <w:rsid w:val="00F365B1"/>
    <w:rsid w:val="00F36DC0"/>
    <w:rsid w:val="00F433EA"/>
    <w:rsid w:val="00F445B0"/>
    <w:rsid w:val="00F474FC"/>
    <w:rsid w:val="00F52461"/>
    <w:rsid w:val="00F54005"/>
    <w:rsid w:val="00F5595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8B9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uiPriority w:val="0"/>
    <w:rPr>
      <w:rFonts w:ascii="Times New Roman" w:hAnsi="Times New Roman" w:eastAsia="宋体" w:cs="Times New Roman"/>
      <w:kern w:val="0"/>
      <w:sz w:val="24"/>
      <w:szCs w:val="24"/>
    </w:rPr>
  </w:style>
  <w:style w:type="table" w:styleId="18">
    <w:name w:val="Table Grid"/>
    <w:basedOn w:val="17"/>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rPr>
      <w:rFonts w:cs="Times New Roman"/>
    </w:rPr>
  </w:style>
  <w:style w:type="character" w:styleId="21">
    <w:name w:val="Hyperlink"/>
    <w:basedOn w:val="19"/>
    <w:uiPriority w:val="99"/>
    <w:rPr>
      <w:rFonts w:cs="Times New Roman"/>
      <w:color w:val="0000FF"/>
      <w:u w:val="single"/>
    </w:rPr>
  </w:style>
  <w:style w:type="character" w:customStyle="1" w:styleId="22">
    <w:name w:val="标题 1 字符"/>
    <w:basedOn w:val="19"/>
    <w:link w:val="2"/>
    <w:qFormat/>
    <w:uiPriority w:val="0"/>
    <w:rPr>
      <w:rFonts w:ascii="Times New Roman" w:hAnsi="Times New Roman" w:eastAsia="宋体" w:cs="Times New Roman"/>
      <w:b/>
      <w:bCs/>
      <w:kern w:val="44"/>
      <w:sz w:val="44"/>
      <w:szCs w:val="44"/>
    </w:rPr>
  </w:style>
  <w:style w:type="character" w:customStyle="1" w:styleId="23">
    <w:name w:val="标题 2 字符"/>
    <w:basedOn w:val="19"/>
    <w:link w:val="3"/>
    <w:qFormat/>
    <w:uiPriority w:val="0"/>
    <w:rPr>
      <w:rFonts w:ascii="Arial" w:hAnsi="Arial" w:eastAsia="黑体" w:cs="Times New Roman"/>
      <w:b/>
      <w:kern w:val="0"/>
      <w:sz w:val="32"/>
      <w:szCs w:val="20"/>
    </w:rPr>
  </w:style>
  <w:style w:type="character" w:customStyle="1" w:styleId="24">
    <w:name w:val="页眉 字符"/>
    <w:basedOn w:val="19"/>
    <w:link w:val="12"/>
    <w:qFormat/>
    <w:uiPriority w:val="0"/>
    <w:rPr>
      <w:rFonts w:ascii="Times New Roman" w:hAnsi="Times New Roman" w:eastAsia="宋体" w:cs="Times New Roman"/>
      <w:kern w:val="0"/>
      <w:sz w:val="18"/>
      <w:szCs w:val="18"/>
    </w:rPr>
  </w:style>
  <w:style w:type="character" w:customStyle="1" w:styleId="25">
    <w:name w:val="页脚 字符"/>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字符"/>
    <w:basedOn w:val="19"/>
    <w:link w:val="9"/>
    <w:qFormat/>
    <w:uiPriority w:val="0"/>
    <w:rPr>
      <w:rFonts w:ascii="Times New Roman" w:hAnsi="Times New Roman" w:eastAsia="宋体" w:cs="Times New Roman"/>
      <w:kern w:val="0"/>
      <w:sz w:val="24"/>
      <w:szCs w:val="24"/>
    </w:rPr>
  </w:style>
  <w:style w:type="character" w:customStyle="1" w:styleId="28">
    <w:name w:val="正文文本缩进 字符"/>
    <w:basedOn w:val="19"/>
    <w:link w:val="7"/>
    <w:uiPriority w:val="0"/>
    <w:rPr>
      <w:rFonts w:ascii="Times New Roman" w:hAnsi="Times New Roman" w:eastAsia="宋体" w:cs="Times New Roman"/>
      <w:kern w:val="0"/>
      <w:sz w:val="24"/>
      <w:szCs w:val="24"/>
    </w:rPr>
  </w:style>
  <w:style w:type="character" w:customStyle="1" w:styleId="29">
    <w:name w:val="正文文本 字符"/>
    <w:basedOn w:val="19"/>
    <w:link w:val="6"/>
    <w:uiPriority w:val="0"/>
    <w:rPr>
      <w:rFonts w:ascii="Times New Roman" w:hAnsi="Times New Roman" w:eastAsia="宋体" w:cs="Times New Roman"/>
      <w:kern w:val="0"/>
      <w:szCs w:val="24"/>
    </w:rPr>
  </w:style>
  <w:style w:type="character" w:customStyle="1" w:styleId="30">
    <w:name w:val="正文文本 2 字符"/>
    <w:basedOn w:val="19"/>
    <w:link w:val="15"/>
    <w:qFormat/>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uiPriority w:val="0"/>
    <w:pPr>
      <w:spacing w:line="640" w:lineRule="exact"/>
      <w:jc w:val="center"/>
    </w:pPr>
    <w:rPr>
      <w:rFonts w:ascii="方正小标宋简体" w:hAnsi="华文中宋" w:eastAsia="方正小标宋简体"/>
      <w:b w:val="0"/>
    </w:rPr>
  </w:style>
  <w:style w:type="character" w:customStyle="1" w:styleId="34">
    <w:name w:val="文档结构图 字符"/>
    <w:basedOn w:val="19"/>
    <w:link w:val="5"/>
    <w:semiHidden/>
    <w:uiPriority w:val="0"/>
    <w:rPr>
      <w:rFonts w:ascii="Times New Roman" w:hAnsi="Times New Roman" w:eastAsia="宋体" w:cs="Times New Roman"/>
      <w:kern w:val="0"/>
      <w:sz w:val="24"/>
      <w:szCs w:val="24"/>
      <w:shd w:val="clear" w:color="auto" w:fill="000080"/>
    </w:rPr>
  </w:style>
  <w:style w:type="character" w:customStyle="1" w:styleId="35">
    <w:name w:val="纯文本 字符"/>
    <w:basedOn w:val="19"/>
    <w:link w:val="8"/>
    <w:uiPriority w:val="0"/>
    <w:rPr>
      <w:rFonts w:ascii="宋体" w:hAnsi="Courier New" w:eastAsia="宋体" w:cs="Courier New"/>
      <w:sz w:val="24"/>
      <w:szCs w:val="21"/>
    </w:rPr>
  </w:style>
  <w:style w:type="character" w:customStyle="1" w:styleId="36">
    <w:name w:val="批注框文本 字符"/>
    <w:basedOn w:val="19"/>
    <w:link w:val="10"/>
    <w:semiHidden/>
    <w:uiPriority w:val="0"/>
    <w:rPr>
      <w:rFonts w:ascii="Times New Roman" w:hAnsi="Times New Roman" w:eastAsia="宋体" w:cs="Times New Roman"/>
      <w:kern w:val="0"/>
      <w:sz w:val="18"/>
      <w:szCs w:val="18"/>
    </w:rPr>
  </w:style>
  <w:style w:type="paragraph" w:customStyle="1" w:styleId="37">
    <w:name w:val="列出段落1"/>
    <w:basedOn w:val="1"/>
    <w:link w:val="41"/>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locked/>
    <w:uiPriority w:val="0"/>
    <w:rPr>
      <w:rFonts w:ascii="Calibri" w:hAnsi="Calibri" w:eastAsia="宋体" w:cs="Times New Roman"/>
      <w:kern w:val="0"/>
      <w:sz w:val="22"/>
      <w:szCs w:val="20"/>
      <w:lang w:eastAsia="en-US"/>
    </w:rPr>
  </w:style>
  <w:style w:type="paragraph" w:customStyle="1" w:styleId="42">
    <w:name w:val="Char Char Char Char"/>
    <w:basedOn w:val="1"/>
    <w:uiPriority w:val="0"/>
    <w:rPr>
      <w:rFonts w:ascii="Times New Roman" w:hAnsi="Times New Roman" w:eastAsia="宋体" w:cs="Times New Roman"/>
      <w:sz w:val="24"/>
      <w:szCs w:val="36"/>
    </w:rPr>
  </w:style>
  <w:style w:type="character" w:customStyle="1" w:styleId="43">
    <w:name w:val="Char Char4"/>
    <w:locked/>
    <w:uiPriority w:val="0"/>
    <w:rPr>
      <w:rFonts w:ascii="宋体" w:hAnsi="Courier New" w:eastAsia="宋体"/>
      <w:kern w:val="2"/>
      <w:sz w:val="21"/>
      <w:lang w:bidi="ar-SA"/>
    </w:rPr>
  </w:style>
  <w:style w:type="character" w:customStyle="1" w:styleId="44">
    <w:name w:val="样式 (中文) 仿宋_GB2312 三号"/>
    <w:basedOn w:val="19"/>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列表段落1"/>
    <w:basedOn w:val="1"/>
    <w:qFormat/>
    <w:uiPriority w:val="34"/>
    <w:pPr>
      <w:ind w:firstLine="420" w:firstLineChars="200"/>
    </w:pPr>
    <w:rPr>
      <w:rFonts w:ascii="等线" w:hAnsi="等线" w:eastAsia="等线" w:cs="Times New Roman"/>
    </w:rPr>
  </w:style>
  <w:style w:type="paragraph" w:customStyle="1" w:styleId="48">
    <w:name w:val="Table Paragraph"/>
    <w:basedOn w:val="1"/>
    <w:qFormat/>
    <w:uiPriority w:val="1"/>
    <w:pPr>
      <w:spacing w:line="360" w:lineRule="auto"/>
      <w:ind w:left="503"/>
      <w:jc w:val="center"/>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DBB24-EDBE-4A05-88E7-70AD3FC7473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5010</Words>
  <Characters>28560</Characters>
  <Lines>238</Lines>
  <Paragraphs>67</Paragraphs>
  <TotalTime>535</TotalTime>
  <ScaleCrop>false</ScaleCrop>
  <LinksUpToDate>false</LinksUpToDate>
  <CharactersWithSpaces>33503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2020-11-06T01:30:00Z</cp:lastPrinted>
  <dcterms:modified xsi:type="dcterms:W3CDTF">2020-11-19T02:26:34Z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