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JS训练伤防治中心实验室平台信息化设备采购</w:t>
      </w:r>
    </w:p>
    <w:p>
      <w:pPr>
        <w:ind w:firstLine="2106" w:firstLineChars="600"/>
        <w:rPr>
          <w:rFonts w:ascii="宋体" w:hAnsi="宋体" w:eastAsia="宋体" w:cs="Times New Roman"/>
          <w:kern w:val="0"/>
          <w:sz w:val="36"/>
          <w:szCs w:val="36"/>
        </w:rPr>
      </w:pPr>
    </w:p>
    <w:p>
      <w:pPr>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   2020-JL13（03）-W30025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 w:val="21"/>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"_Toc43485651" </w:instrText>
      </w:r>
      <w:r>
        <w:fldChar w:fldCharType="separate"/>
      </w:r>
      <w:r>
        <w:rPr>
          <w:rStyle w:val="22"/>
          <w:rFonts w:hint="eastAsia" w:ascii="黑体" w:hAnsi="黑体" w:eastAsia="黑体"/>
        </w:rPr>
        <w:t>第一部分</w:t>
      </w:r>
      <w:r>
        <w:rPr>
          <w:rStyle w:val="22"/>
          <w:rFonts w:ascii="黑体" w:hAnsi="黑体" w:eastAsia="黑体"/>
        </w:rPr>
        <w:t xml:space="preserve">  </w:t>
      </w:r>
      <w:r>
        <w:rPr>
          <w:rStyle w:val="22"/>
          <w:rFonts w:hint="eastAsia" w:ascii="黑体" w:hAnsi="黑体" w:eastAsia="黑体"/>
        </w:rPr>
        <w:t>采购公告</w:t>
      </w:r>
      <w:r>
        <w:tab/>
      </w:r>
      <w:r>
        <w:fldChar w:fldCharType="begin"/>
      </w:r>
      <w:r>
        <w:instrText xml:space="preserve"> PAGEREF _Toc43485651 \h </w:instrText>
      </w:r>
      <w:r>
        <w:fldChar w:fldCharType="separate"/>
      </w:r>
      <w:r>
        <w:t>1</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"_Toc43485652" </w:instrText>
      </w:r>
      <w:r>
        <w:fldChar w:fldCharType="separate"/>
      </w:r>
      <w:r>
        <w:rPr>
          <w:rStyle w:val="22"/>
          <w:rFonts w:hint="eastAsia" w:ascii="黑体" w:hAnsi="黑体" w:eastAsia="黑体"/>
          <w:lang w:val="zh-CN"/>
        </w:rPr>
        <w:t>第二部分</w:t>
      </w:r>
      <w:r>
        <w:rPr>
          <w:rStyle w:val="22"/>
          <w:rFonts w:ascii="黑体" w:hAnsi="黑体" w:eastAsia="黑体"/>
          <w:lang w:val="zh-CN"/>
        </w:rPr>
        <w:t xml:space="preserve">  </w:t>
      </w:r>
      <w:r>
        <w:rPr>
          <w:rStyle w:val="22"/>
          <w:rFonts w:hint="eastAsia" w:ascii="黑体" w:hAnsi="黑体" w:eastAsia="黑体"/>
          <w:lang w:val="zh-CN"/>
        </w:rPr>
        <w:t>采购项目技</w:t>
      </w:r>
      <w:r>
        <w:rPr>
          <w:rStyle w:val="22"/>
          <w:rFonts w:hint="eastAsia" w:ascii="黑体" w:hAnsi="黑体" w:eastAsia="黑体" w:cs="宋体"/>
          <w:lang w:val="zh-CN"/>
        </w:rPr>
        <w:t>术</w:t>
      </w:r>
      <w:r>
        <w:rPr>
          <w:rStyle w:val="22"/>
          <w:rFonts w:hint="eastAsia" w:ascii="黑体" w:hAnsi="黑体" w:eastAsia="黑体" w:cs="Dotum"/>
          <w:lang w:val="zh-CN"/>
        </w:rPr>
        <w:t>和商</w:t>
      </w:r>
      <w:r>
        <w:rPr>
          <w:rStyle w:val="22"/>
          <w:rFonts w:hint="eastAsia" w:ascii="黑体" w:hAnsi="黑体" w:eastAsia="黑体" w:cs="宋体"/>
          <w:lang w:val="zh-CN"/>
        </w:rPr>
        <w:t>务</w:t>
      </w:r>
      <w:r>
        <w:rPr>
          <w:rStyle w:val="22"/>
          <w:rFonts w:hint="eastAsia" w:ascii="黑体" w:hAnsi="黑体" w:eastAsia="黑体"/>
          <w:lang w:val="zh-CN"/>
        </w:rPr>
        <w:t>要求</w:t>
      </w:r>
      <w:r>
        <w:tab/>
      </w:r>
      <w:r>
        <w:fldChar w:fldCharType="begin"/>
      </w:r>
      <w:r>
        <w:instrText xml:space="preserve"> PAGEREF _Toc43485652 \h </w:instrText>
      </w:r>
      <w:r>
        <w:fldChar w:fldCharType="separate"/>
      </w:r>
      <w:r>
        <w:t>4</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"_Toc43485653" </w:instrText>
      </w:r>
      <w:r>
        <w:fldChar w:fldCharType="separate"/>
      </w:r>
      <w:r>
        <w:rPr>
          <w:rStyle w:val="22"/>
          <w:rFonts w:hint="eastAsia" w:ascii="黑体" w:hAnsi="黑体" w:eastAsia="黑体"/>
        </w:rPr>
        <w:t>第三部分</w:t>
      </w:r>
      <w:r>
        <w:rPr>
          <w:rStyle w:val="22"/>
          <w:rFonts w:ascii="黑体" w:hAnsi="黑体" w:eastAsia="黑体"/>
        </w:rPr>
        <w:t xml:space="preserve">  </w:t>
      </w:r>
      <w:r>
        <w:rPr>
          <w:rStyle w:val="22"/>
          <w:rFonts w:hint="eastAsia" w:ascii="黑体" w:hAnsi="黑体" w:eastAsia="黑体"/>
          <w:lang w:val="zh-CN"/>
        </w:rPr>
        <w:t>报价方</w:t>
      </w:r>
      <w:r>
        <w:rPr>
          <w:rStyle w:val="22"/>
          <w:rFonts w:hint="eastAsia" w:ascii="黑体" w:hAnsi="黑体" w:eastAsia="黑体"/>
        </w:rPr>
        <w:t>须知</w:t>
      </w:r>
      <w:r>
        <w:tab/>
      </w:r>
      <w:r>
        <w:fldChar w:fldCharType="begin"/>
      </w:r>
      <w:r>
        <w:instrText xml:space="preserve"> PAGEREF _Toc43485653 \h </w:instrText>
      </w:r>
      <w:r>
        <w:fldChar w:fldCharType="separate"/>
      </w:r>
      <w:r>
        <w:t>6</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"_Toc43485654" </w:instrText>
      </w:r>
      <w:r>
        <w:fldChar w:fldCharType="separate"/>
      </w:r>
      <w:r>
        <w:rPr>
          <w:rStyle w:val="22"/>
          <w:rFonts w:hint="eastAsia" w:ascii="黑体" w:hAnsi="黑体" w:eastAsia="黑体"/>
          <w:bCs/>
        </w:rPr>
        <w:t>第四部分</w:t>
      </w:r>
      <w:r>
        <w:rPr>
          <w:rStyle w:val="22"/>
          <w:rFonts w:ascii="黑体" w:hAnsi="黑体" w:eastAsia="黑体"/>
          <w:bCs/>
        </w:rPr>
        <w:t xml:space="preserve">  </w:t>
      </w:r>
      <w:r>
        <w:rPr>
          <w:rStyle w:val="22"/>
          <w:rFonts w:hint="eastAsia" w:ascii="黑体" w:hAnsi="黑体" w:eastAsia="黑体"/>
          <w:bCs/>
        </w:rPr>
        <w:t>合同样本</w:t>
      </w:r>
      <w:r>
        <w:tab/>
      </w:r>
      <w:r>
        <w:fldChar w:fldCharType="begin"/>
      </w:r>
      <w:r>
        <w:instrText xml:space="preserve"> PAGEREF _Toc43485654 \h </w:instrText>
      </w:r>
      <w:r>
        <w:fldChar w:fldCharType="separate"/>
      </w:r>
      <w:r>
        <w:t>29</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"_Toc43485655" </w:instrText>
      </w:r>
      <w:r>
        <w:fldChar w:fldCharType="separate"/>
      </w:r>
      <w:r>
        <w:rPr>
          <w:rStyle w:val="22"/>
          <w:rFonts w:hint="eastAsia" w:ascii="黑体" w:hAnsi="黑体" w:eastAsia="黑体"/>
        </w:rPr>
        <w:t>第五部分</w:t>
      </w:r>
      <w:r>
        <w:rPr>
          <w:rStyle w:val="22"/>
          <w:rFonts w:ascii="黑体" w:hAnsi="黑体" w:eastAsia="黑体"/>
        </w:rPr>
        <w:t xml:space="preserve">  </w:t>
      </w:r>
      <w:r>
        <w:rPr>
          <w:rStyle w:val="22"/>
          <w:rFonts w:hint="eastAsia" w:ascii="黑体" w:hAnsi="黑体" w:eastAsia="黑体"/>
        </w:rPr>
        <w:t>附件</w:t>
      </w:r>
      <w:r>
        <w:rPr>
          <w:rStyle w:val="22"/>
          <w:rFonts w:ascii="黑体" w:hAnsi="黑体" w:eastAsia="黑体"/>
        </w:rPr>
        <w:t>/</w:t>
      </w:r>
      <w:r>
        <w:rPr>
          <w:rStyle w:val="22"/>
          <w:rFonts w:hint="eastAsia" w:ascii="黑体" w:hAnsi="黑体" w:eastAsia="黑体"/>
        </w:rPr>
        <w:t>报价文件格式</w:t>
      </w:r>
      <w:r>
        <w:tab/>
      </w:r>
      <w:r>
        <w:fldChar w:fldCharType="begin"/>
      </w:r>
      <w:r>
        <w:instrText xml:space="preserve"> PAGEREF _Toc43485655 \h </w:instrText>
      </w:r>
      <w:r>
        <w:fldChar w:fldCharType="separate"/>
      </w:r>
      <w:r>
        <w:t>34</w:t>
      </w:r>
      <w:r>
        <w:fldChar w:fldCharType="end"/>
      </w:r>
      <w: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4348565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关于JS训练伤防治中心实验室平台信息化设备采购的采购</w:t>
      </w:r>
      <w:r>
        <w:rPr>
          <w:rFonts w:ascii="Tahoma" w:hAnsi="Tahoma" w:cs="Tahoma"/>
          <w:b/>
          <w:bCs/>
          <w:kern w:val="0"/>
          <w:sz w:val="28"/>
          <w:szCs w:val="28"/>
        </w:rPr>
        <w:t>公告</w:t>
      </w:r>
      <w:r>
        <w:rPr>
          <w:rFonts w:hint="eastAsia" w:ascii="Tahoma" w:hAnsi="Tahoma" w:cs="Tahoma"/>
          <w:kern w:val="0"/>
          <w:sz w:val="28"/>
          <w:szCs w:val="28"/>
        </w:rPr>
        <w:t>2020-JL13（03）-W30025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JS训练伤防治中心实验室平台信息化设备采购</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2020-JL13（03）-W30025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559"/>
        <w:gridCol w:w="709"/>
        <w:gridCol w:w="643"/>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规格</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技术</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计量</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JS训练伤防治中心实验室平台信息化设备采购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详见谈判文件附件21</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项</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cs="Times New Roman" w:asciiTheme="minorEastAsia" w:hAnsiTheme="minorEastAsia"/>
                <w:szCs w:val="21"/>
              </w:rPr>
              <w:t>合同签订后60个日历日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最高限价</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kern w:val="0"/>
                <w:sz w:val="24"/>
                <w:szCs w:val="24"/>
              </w:rPr>
            </w:pPr>
            <w:r>
              <w:rPr>
                <w:rFonts w:hint="eastAsia" w:ascii="宋体" w:hAnsi="宋体" w:eastAsia="宋体" w:cs="Times New Roman"/>
                <w:kern w:val="0"/>
                <w:sz w:val="24"/>
                <w:szCs w:val="24"/>
              </w:rPr>
              <w:t>¥196,000.00元（大写人民币：壹拾玖万陆仟元整）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napToGrid w:val="0"/>
                <w:kern w:val="0"/>
                <w:sz w:val="24"/>
                <w:szCs w:val="24"/>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sz w:val="24"/>
                <w:szCs w:val="24"/>
              </w:rPr>
            </w:pPr>
            <w:r>
              <w:rPr>
                <w:rFonts w:ascii="宋体" w:hAnsi="宋体" w:eastAsia="宋体" w:cs="Times New Roman"/>
                <w:kern w:val="0"/>
                <w:sz w:val="24"/>
                <w:szCs w:val="24"/>
              </w:rPr>
              <w:t>1.</w:t>
            </w:r>
            <w:r>
              <w:rPr>
                <w:rFonts w:hint="eastAsia" w:ascii="宋体" w:hAnsi="宋体"/>
              </w:rPr>
              <w:t xml:space="preserve"> 报价应包括所有货物供应、运输、安装、培训、售后服务等价格。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lang w:val="en-US" w:eastAsia="zh-CN"/>
        </w:rPr>
        <w:t>2020</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10</w:t>
      </w:r>
      <w:r>
        <w:rPr>
          <w:rFonts w:hint="eastAsia" w:ascii="宋体" w:hAnsi="宋体" w:eastAsia="宋体" w:cs="Times New Roman"/>
          <w:kern w:val="0"/>
          <w:sz w:val="24"/>
          <w:szCs w:val="24"/>
        </w:rPr>
        <w:t>至</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17</w:t>
      </w:r>
      <w:r>
        <w:rPr>
          <w:rFonts w:hint="eastAsia" w:ascii="宋体" w:hAnsi="宋体" w:eastAsia="宋体" w:cs="Times New Roman"/>
          <w:kern w:val="0"/>
          <w:sz w:val="24"/>
          <w:szCs w:val="24"/>
        </w:rPr>
        <w:t>日（08:00—11:30，15:00—17:30）（北京时间、节假日除外）。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w:t>
      </w:r>
      <w:bookmarkStart w:id="41" w:name="_GoBack"/>
      <w:bookmarkEnd w:id="41"/>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2"/>
          <w:rFonts w:asciiTheme="minorEastAsia" w:hAnsiTheme="minorEastAsia"/>
          <w:b/>
          <w:color w:val="auto"/>
          <w:kern w:val="0"/>
          <w:sz w:val="24"/>
          <w:szCs w:val="24"/>
          <w:u w:val="none"/>
        </w:rPr>
        <w:t>www.zhaobiao.cn</w:t>
      </w:r>
      <w:r>
        <w:rPr>
          <w:rStyle w:val="22"/>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43485652"/>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8"/>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包号</w:t>
            </w:r>
          </w:p>
        </w:tc>
        <w:tc>
          <w:tcPr>
            <w:tcW w:w="19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物资名称</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规格型号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hint="eastAsia" w:cs="Times New Roman" w:asciiTheme="minorEastAsia" w:hAnsiTheme="minorEastAsia"/>
                <w:kern w:val="0"/>
                <w:sz w:val="24"/>
                <w:szCs w:val="24"/>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计量</w:t>
            </w:r>
          </w:p>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数量</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备注</w:t>
            </w:r>
          </w:p>
        </w:tc>
      </w:tr>
      <w:tr>
        <w:tblPrEx>
          <w:tblCellMar>
            <w:top w:w="0" w:type="dxa"/>
            <w:left w:w="108" w:type="dxa"/>
            <w:bottom w:w="0" w:type="dxa"/>
            <w:right w:w="108" w:type="dxa"/>
          </w:tblCellMar>
        </w:tblPrEx>
        <w:trPr>
          <w:trHeight w:val="1326"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9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JS训练伤防治中心实验室平台信息化设备采购</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7" w:firstLineChars="98"/>
              <w:jc w:val="left"/>
              <w:rPr>
                <w:rFonts w:ascii="宋体" w:hAnsi="宋体" w:eastAsia="宋体" w:cs="Times New Roman"/>
                <w:kern w:val="0"/>
                <w:sz w:val="24"/>
                <w:szCs w:val="24"/>
              </w:rPr>
            </w:pPr>
            <w:r>
              <w:rPr>
                <w:rFonts w:hint="eastAsia" w:ascii="宋体" w:hAnsi="宋体" w:eastAsia="宋体" w:cs="Times New Roman"/>
                <w:kern w:val="0"/>
                <w:sz w:val="24"/>
                <w:szCs w:val="24"/>
              </w:rPr>
              <w:t>详见谈判文件附件21</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w:t>
            </w:r>
          </w:p>
        </w:tc>
        <w:tc>
          <w:tcPr>
            <w:tcW w:w="851"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24"/>
                <w:szCs w:val="24"/>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在采购合同签订后60个日历日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保修期：自验收合格之日起，产品免费保修期至少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产品免费保修期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6.凡涉及与我院HIS、LIS、PACS、电生理系统、病理信息系统，军事训练伤防治中心实验室平台等系统连接的设备，要求具有标准数字接口，若产品没有匹配的接口，由成交供应商负责改造并承担相应费用。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采购人不组织集中踏勘，各投标人于</w:t>
      </w:r>
      <w:r>
        <w:rPr>
          <w:rFonts w:hint="eastAsia" w:cs="Times New Roman" w:asciiTheme="minorEastAsia" w:hAnsiTheme="minorEastAsia"/>
          <w:color w:val="FF0000"/>
          <w:kern w:val="0"/>
          <w:sz w:val="24"/>
          <w:szCs w:val="24"/>
          <w:lang w:val="zh-CN"/>
        </w:rPr>
        <w:t>2020年x月x日-x日</w:t>
      </w:r>
      <w:r>
        <w:rPr>
          <w:rFonts w:hint="eastAsia" w:cs="Times New Roman" w:asciiTheme="minorEastAsia" w:hAnsiTheme="minorEastAsia"/>
          <w:kern w:val="0"/>
          <w:sz w:val="24"/>
          <w:szCs w:val="24"/>
          <w:lang w:val="zh-CN"/>
        </w:rPr>
        <w:t>（工作时间）自行前往现场踏勘，踏勘费用自理，其余时间恕不接受踏勘。踏勘人员不超过2人，请携带本人身份证，自觉遵守采购人项目地的秩序、安全、保密管理等相关规定。投标人自行负责在踏勘现场中所发生的人员伤亡和财产损失。采购人在踏勘现场中介绍的相关情况，仅供投标人参考，采购人不对投标人据此做出的判断和决策负责。无论投标人是否踏勘过现场，均被认为已经踏勘现场，对本合同项目的风险和义务已经十分了解，并在其投标文件中已充分考虑了现场和环境条件。</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踏勘联系人：李老师</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电  话：18716463464</w:t>
      </w: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435540980"/>
      <w:bookmarkStart w:id="11" w:name="_Toc43485653"/>
      <w:bookmarkStart w:id="12" w:name="_Toc24043223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保修期内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rPr>
        <w:t>中国招标</w:t>
      </w:r>
      <w:r>
        <w:rPr>
          <w:rFonts w:cs="Times New Roman" w:asciiTheme="minorEastAsia" w:hAnsiTheme="minorEastAsia"/>
          <w:snapToGrid w:val="0"/>
          <w:kern w:val="0"/>
          <w:sz w:val="24"/>
          <w:szCs w:val="24"/>
        </w:rPr>
        <w:t>网》</w:t>
      </w:r>
      <w:r>
        <w:rPr>
          <w:rFonts w:hint="eastAsia" w:cs="Times New Roman" w:asciiTheme="minorEastAsia" w:hAnsiTheme="minorEastAsia"/>
          <w:snapToGrid w:val="0"/>
          <w:kern w:val="0"/>
          <w:sz w:val="24"/>
          <w:szCs w:val="24"/>
        </w:rPr>
        <w:t>（</w:t>
      </w:r>
      <w:r>
        <w:fldChar w:fldCharType="begin"/>
      </w:r>
      <w:r>
        <w:instrText xml:space="preserve"> HYPERLINK "http://www.zhaobiao.cn" </w:instrText>
      </w:r>
      <w:r>
        <w:fldChar w:fldCharType="separate"/>
      </w:r>
      <w:r>
        <w:rPr>
          <w:rStyle w:val="22"/>
          <w:rFonts w:asciiTheme="minorEastAsia" w:hAnsiTheme="minorEastAsia"/>
          <w:snapToGrid w:val="0"/>
          <w:color w:val="auto"/>
          <w:kern w:val="0"/>
          <w:sz w:val="24"/>
          <w:szCs w:val="24"/>
          <w:u w:val="none"/>
        </w:rPr>
        <w:t>www.zhaobiao.cn</w:t>
      </w:r>
      <w:r>
        <w:rPr>
          <w:rStyle w:val="22"/>
          <w:rFonts w:asciiTheme="minorEastAsia" w:hAnsiTheme="minorEastAsia"/>
          <w:snapToGrid w:val="0"/>
          <w:color w:val="auto"/>
          <w:kern w:val="0"/>
          <w:sz w:val="24"/>
          <w:szCs w:val="24"/>
          <w:u w:val="none"/>
        </w:rPr>
        <w:fldChar w:fldCharType="end"/>
      </w:r>
      <w:r>
        <w:rPr>
          <w:rFonts w:hint="eastAsia" w:cs="Times New Roman" w:asciiTheme="minorEastAsia" w:hAnsiTheme="minorEastAsia"/>
          <w:snapToGrid w:val="0"/>
          <w:kern w:val="0"/>
          <w:sz w:val="24"/>
          <w:szCs w:val="24"/>
        </w:rPr>
        <w:t>）及医院官网（</w:t>
      </w:r>
      <w:r>
        <w:rPr>
          <w:rFonts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snapToGrid w:val="0"/>
          <w:kern w:val="0"/>
          <w:sz w:val="24"/>
          <w:szCs w:val="24"/>
          <w:lang w:val="zh-CN"/>
        </w:rPr>
        <w:t>生产厂家售后服务承诺（进口设备由总代提供，附件10</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(12)</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(13)</w:t>
      </w:r>
      <w:r>
        <w:rPr>
          <w:rFonts w:hint="eastAsia" w:cs="Times New Roman" w:asciiTheme="minorEastAsia" w:hAnsiTheme="minorEastAsia"/>
          <w:kern w:val="0"/>
          <w:sz w:val="24"/>
          <w:szCs w:val="24"/>
        </w:rPr>
        <w:t>技术评审表（附件12）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w:t>
      </w:r>
      <w:r>
        <w:rPr>
          <w:rFonts w:hint="eastAsia" w:cs="Times New Roman" w:asciiTheme="minorEastAsia" w:hAnsiTheme="minorEastAsia"/>
          <w:kern w:val="0"/>
          <w:sz w:val="24"/>
          <w:szCs w:val="24"/>
        </w:rPr>
        <w:t>商务评审表（附件13）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(5)保密承诺书（附件17）</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(9)良好的商业信誉和健全的财务会计制度证明材料：会计师事务所出具的近3年（不足3年以成立日期起算）审计报告主要内容或公司近3年财务报表，至少应包括资产负债表、利润表及现金流量表。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(10)相关声明书（包含但不限于以下内容）：①非外资企业或外资控股企业的书面声明；②参加本次采购活动前3年内在经营活动中没有重大违法记录的书面声明。（附件19）</w:t>
      </w:r>
    </w:p>
    <w:p>
      <w:pPr>
        <w:adjustRightInd w:val="0"/>
        <w:snapToGrid w:val="0"/>
        <w:spacing w:line="440" w:lineRule="exact"/>
        <w:ind w:firstLine="455" w:firstLineChars="197"/>
        <w:rPr>
          <w:rFonts w:cs="Times New Roman" w:asciiTheme="minorEastAsia" w:hAnsiTheme="minorEastAsia"/>
          <w:kern w:val="0"/>
          <w:sz w:val="24"/>
          <w:szCs w:val="24"/>
        </w:rPr>
      </w:pPr>
      <w:r>
        <w:rPr>
          <w:rFonts w:hint="eastAsia" w:cs="Times New Roman" w:asciiTheme="minorEastAsia" w:hAnsiTheme="minorEastAsia"/>
          <w:kern w:val="0"/>
          <w:sz w:val="24"/>
          <w:szCs w:val="24"/>
        </w:rPr>
        <w:t>(11)报价方认为需要加以说明的其他内容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报价方可以选择性提供其他资格证明文件，包括但不限于质量管理体系认证证书、环境管理体系认证证书、职业健康管理体系认证证书、3C认证、高新技术企业</w:t>
      </w:r>
      <w:r>
        <w:rPr>
          <w:rFonts w:hint="eastAsia" w:asciiTheme="majorEastAsia" w:hAnsiTheme="majorEastAsia" w:eastAsiaTheme="majorEastAsia"/>
          <w:sz w:val="24"/>
          <w:szCs w:val="24"/>
        </w:rPr>
        <w:t>、电子与智能化工程专业资质、</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8"/>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98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6.健全的财务会计制度证明材料：会计师事务所出具的近3年（不足3年以成立日期起算）审计报告主要内容或公司近3年财务报表，至少应包括资产负债表、利润表及现金流量表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 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54"/>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tcBorders>
              <w:top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序号</w:t>
            </w:r>
          </w:p>
        </w:tc>
        <w:tc>
          <w:tcPr>
            <w:tcW w:w="8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项目</w:t>
            </w:r>
          </w:p>
        </w:tc>
        <w:tc>
          <w:tcPr>
            <w:tcW w:w="708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评审内容及规则</w:t>
            </w:r>
          </w:p>
        </w:tc>
        <w:tc>
          <w:tcPr>
            <w:tcW w:w="708" w:type="dxa"/>
            <w:tcBorders>
              <w:top w:val="single" w:color="000000" w:sz="4" w:space="0"/>
              <w:left w:val="single" w:color="000000" w:sz="4" w:space="0"/>
              <w:bottom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标准</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648" w:type="dxa"/>
            <w:gridSpan w:val="4"/>
            <w:tcBorders>
              <w:top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商务评审</w:t>
            </w:r>
          </w:p>
        </w:tc>
        <w:tc>
          <w:tcPr>
            <w:tcW w:w="708" w:type="dxa"/>
            <w:tcBorders>
              <w:top w:val="single" w:color="000000" w:sz="4" w:space="0"/>
              <w:left w:val="single" w:color="000000" w:sz="4" w:space="0"/>
            </w:tcBorders>
            <w:vAlign w:val="center"/>
          </w:tcPr>
          <w:p>
            <w:pPr>
              <w:adjustRightInd w:val="0"/>
              <w:snapToGrid w:val="0"/>
              <w:spacing w:line="300" w:lineRule="auto"/>
              <w:rPr>
                <w:rFonts w:ascii="宋体" w:hAnsi="宋体" w:eastAsia="宋体" w:cs="Times New Roman"/>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价  格</w:t>
            </w:r>
          </w:p>
        </w:tc>
        <w:tc>
          <w:tcPr>
            <w:tcW w:w="7088" w:type="dxa"/>
            <w:gridSpan w:val="2"/>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满足招标文件要求且报价最低的为评审基准价</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价格得分=（评审基准价/报价）×标准分值</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kern w:val="0"/>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业绩</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ascii="宋体" w:hAnsi="宋体" w:eastAsia="宋体" w:cs="Times New Roman"/>
                <w:kern w:val="0"/>
                <w:sz w:val="21"/>
                <w:szCs w:val="21"/>
              </w:rPr>
              <w:t>的销售业绩。以提供的销售合同复印件为准，未盖章或盖章不清晰、总金额或数量不清晰的合同无效。</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业绩得分=（所投产品业绩/基准业绩）×标准分值</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基准业绩=近三年（截止开标时间）所投产品有效合同累计销售最高数量（以有效合同份数计算）</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企业</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规模</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2.根据报价方近三年缴纳社保</w:t>
            </w:r>
            <w:r>
              <w:rPr>
                <w:rFonts w:hint="eastAsia" w:ascii="宋体" w:hAnsi="宋体" w:eastAsia="宋体" w:cs="Times New Roman"/>
                <w:b/>
                <w:kern w:val="0"/>
                <w:sz w:val="21"/>
                <w:szCs w:val="21"/>
                <w:u w:val="single"/>
              </w:rPr>
              <w:t>总金额</w:t>
            </w:r>
            <w:r>
              <w:rPr>
                <w:rFonts w:hint="eastAsia" w:ascii="宋体" w:hAnsi="宋体" w:eastAsia="宋体" w:cs="Times New Roman"/>
                <w:kern w:val="0"/>
                <w:sz w:val="21"/>
                <w:szCs w:val="21"/>
              </w:rPr>
              <w:t>由大至小排名，第一名得1分，依次递减0.2分。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四</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信  誉</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1.报价方近两年连续获得税务部门颁发的企业纳税信用</w:t>
            </w:r>
            <w:r>
              <w:rPr>
                <w:rFonts w:hint="eastAsia" w:ascii="宋体" w:hAnsi="宋体" w:eastAsia="宋体" w:cs="Times New Roman"/>
                <w:b/>
                <w:kern w:val="0"/>
                <w:sz w:val="21"/>
                <w:szCs w:val="21"/>
                <w:u w:val="single"/>
              </w:rPr>
              <w:t>A级</w:t>
            </w:r>
            <w:r>
              <w:rPr>
                <w:rFonts w:hint="eastAsia" w:ascii="宋体" w:hAnsi="宋体" w:eastAsia="宋体" w:cs="Times New Roman"/>
                <w:kern w:val="0"/>
                <w:sz w:val="21"/>
                <w:szCs w:val="21"/>
              </w:rPr>
              <w:t>评价证书的得0.5分，其他得0分。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2.报价方近一年获得银行颁发的资信（信用）</w:t>
            </w:r>
            <w:r>
              <w:rPr>
                <w:rFonts w:hint="eastAsia" w:ascii="宋体" w:hAnsi="宋体" w:eastAsia="宋体" w:cs="Times New Roman"/>
                <w:b/>
                <w:kern w:val="0"/>
                <w:sz w:val="21"/>
                <w:szCs w:val="21"/>
                <w:u w:val="single"/>
              </w:rPr>
              <w:t>等级</w:t>
            </w:r>
            <w:r>
              <w:rPr>
                <w:rFonts w:hint="eastAsia" w:ascii="宋体" w:hAnsi="宋体" w:eastAsia="宋体" w:cs="Times New Roman"/>
                <w:kern w:val="0"/>
                <w:sz w:val="21"/>
                <w:szCs w:val="21"/>
              </w:rPr>
              <w:t>证明，级别最高的得0.5分，其他得0分。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五</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财务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状况</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六</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报价方</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性质</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报价方是</w:t>
            </w:r>
            <w:r>
              <w:rPr>
                <w:rFonts w:hint="eastAsia" w:ascii="宋体" w:hAnsi="宋体" w:eastAsia="宋体" w:cs="Times New Roman"/>
                <w:b/>
                <w:kern w:val="0"/>
                <w:sz w:val="21"/>
                <w:szCs w:val="21"/>
                <w:u w:val="single"/>
              </w:rPr>
              <w:t>生产企业或进口产品全国（大区）总代理</w:t>
            </w:r>
            <w:r>
              <w:rPr>
                <w:rFonts w:hint="eastAsia" w:ascii="宋体" w:hAnsi="宋体" w:eastAsia="宋体" w:cs="Times New Roman"/>
                <w:kern w:val="0"/>
                <w:sz w:val="21"/>
                <w:szCs w:val="21"/>
              </w:rPr>
              <w:t>的得标准分值，不是的得0分。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七</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特色商务</w:t>
            </w:r>
          </w:p>
        </w:tc>
        <w:tc>
          <w:tcPr>
            <w:tcW w:w="7088" w:type="dxa"/>
            <w:gridSpan w:val="2"/>
            <w:tcBorders>
              <w:top w:val="single" w:color="auto" w:sz="4" w:space="0"/>
            </w:tcBorders>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color w:val="000000" w:themeColor="text1"/>
                <w:kern w:val="0"/>
                <w:sz w:val="21"/>
                <w:szCs w:val="21"/>
              </w:rPr>
              <w:t>投标公司为上市公司或为所投产品行业标准制定者得</w:t>
            </w:r>
            <w:r>
              <w:rPr>
                <w:rFonts w:ascii="宋体" w:hAnsi="宋体" w:eastAsia="宋体" w:cs="Times New Roman"/>
                <w:color w:val="000000" w:themeColor="text1"/>
                <w:kern w:val="0"/>
                <w:sz w:val="21"/>
                <w:szCs w:val="21"/>
              </w:rPr>
              <w:t>4-5分，所投产品标准达到行业领先水平得2-3分，达到区域领先的得1分。</w:t>
            </w:r>
            <w:r>
              <w:rPr>
                <w:rFonts w:hint="eastAsia" w:ascii="宋体" w:hAnsi="宋体" w:eastAsia="宋体" w:cs="Times New Roman"/>
                <w:color w:val="000000" w:themeColor="text1"/>
                <w:kern w:val="0"/>
                <w:sz w:val="21"/>
                <w:szCs w:val="21"/>
              </w:rPr>
              <w:t>（提供证明材料）</w:t>
            </w:r>
          </w:p>
        </w:tc>
        <w:tc>
          <w:tcPr>
            <w:tcW w:w="708" w:type="dxa"/>
            <w:tcBorders>
              <w:top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技术评审</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质量</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控制</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（5分）</w:t>
            </w: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 投标产品具备有效的节字标志认证证书（CQC）和中国环境标志认证证书（CEC）的，1项各得0.5分。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 根据投标产品平均无故障时间（MTBF）由长至短排名，排名第一的得1分，其余按排名依次递减0.4分，最低或没有得0分。企业需提供无故障检测证明材料。</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3. 投标产品生产企业提供产品噪声、防辐射、防尘、恶劣供电环境、防腐检验、环境应力等专项检验证书的，有一项得0.25分，最多得2分，未提供不得分。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4.开发商为高新技术企业的得标准分，否则得0分。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5. 生产企业为国家级技术中心的得0.5分，省级技术中心的得0.25分。（提供相关证明材料）</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产品技术性能指标参数满足偏离情况（20分）</w:t>
            </w: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符合招标文件技术要求的有效起评分为</w:t>
            </w:r>
            <w:r>
              <w:rPr>
                <w:rFonts w:ascii="宋体" w:hAnsi="宋体" w:eastAsia="宋体" w:cs="Times New Roman"/>
                <w:kern w:val="0"/>
                <w:sz w:val="21"/>
                <w:szCs w:val="21"/>
              </w:rPr>
              <w:t>5</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 关键重要技术指标参数（★）、重要指标参数（▲）正偏离，每条加</w:t>
            </w:r>
            <w:r>
              <w:rPr>
                <w:rFonts w:ascii="宋体" w:hAnsi="宋体" w:eastAsia="宋体" w:cs="Times New Roman"/>
                <w:kern w:val="0"/>
                <w:sz w:val="21"/>
                <w:szCs w:val="21"/>
              </w:rPr>
              <w:t>1</w:t>
            </w:r>
            <w:r>
              <w:rPr>
                <w:rFonts w:hint="eastAsia" w:ascii="宋体" w:hAnsi="宋体" w:eastAsia="宋体" w:cs="Times New Roman"/>
                <w:kern w:val="0"/>
                <w:sz w:val="21"/>
                <w:szCs w:val="21"/>
              </w:rPr>
              <w:t>分，最多加</w:t>
            </w:r>
            <w:r>
              <w:rPr>
                <w:rFonts w:ascii="宋体" w:hAnsi="宋体" w:eastAsia="宋体" w:cs="Times New Roman"/>
                <w:kern w:val="0"/>
                <w:sz w:val="21"/>
                <w:szCs w:val="21"/>
              </w:rPr>
              <w:t>10</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lang w:val="zh-CN"/>
              </w:rPr>
            </w:pPr>
            <w:r>
              <w:rPr>
                <w:rFonts w:hint="eastAsia" w:ascii="宋体" w:hAnsi="宋体" w:eastAsia="宋体" w:cs="Times New Roman"/>
                <w:kern w:val="0"/>
                <w:sz w:val="21"/>
                <w:szCs w:val="21"/>
              </w:rPr>
              <w:t>2.</w:t>
            </w:r>
            <w:r>
              <w:rPr>
                <w:rFonts w:hint="eastAsia" w:ascii="宋体" w:hAnsi="宋体" w:eastAsia="宋体" w:cs="Times New Roman"/>
                <w:kern w:val="0"/>
                <w:sz w:val="21"/>
                <w:szCs w:val="21"/>
                <w:lang w:val="zh-CN"/>
              </w:rPr>
              <w:t xml:space="preserve"> 一般技术指标参数正偏离每条加</w:t>
            </w:r>
            <w:r>
              <w:rPr>
                <w:rFonts w:ascii="宋体" w:hAnsi="宋体" w:eastAsia="宋体" w:cs="Times New Roman"/>
                <w:kern w:val="0"/>
                <w:sz w:val="21"/>
                <w:szCs w:val="21"/>
                <w:lang w:val="zh-CN"/>
              </w:rPr>
              <w:t>1</w:t>
            </w:r>
            <w:r>
              <w:rPr>
                <w:rFonts w:hint="eastAsia" w:ascii="宋体" w:hAnsi="宋体" w:eastAsia="宋体" w:cs="Times New Roman"/>
                <w:kern w:val="0"/>
                <w:sz w:val="21"/>
                <w:szCs w:val="21"/>
                <w:lang w:val="zh-CN"/>
              </w:rPr>
              <w:t>分，最多加</w:t>
            </w:r>
            <w:r>
              <w:rPr>
                <w:rFonts w:ascii="宋体" w:hAnsi="宋体" w:eastAsia="宋体" w:cs="Times New Roman"/>
                <w:kern w:val="0"/>
                <w:sz w:val="21"/>
                <w:szCs w:val="21"/>
                <w:lang w:val="zh-CN"/>
              </w:rPr>
              <w:t>5</w:t>
            </w:r>
            <w:r>
              <w:rPr>
                <w:rFonts w:hint="eastAsia" w:ascii="宋体" w:hAnsi="宋体" w:eastAsia="宋体" w:cs="Times New Roman"/>
                <w:kern w:val="0"/>
                <w:sz w:val="21"/>
                <w:szCs w:val="21"/>
                <w:lang w:val="zh-CN"/>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lang w:val="zh-CN"/>
              </w:rPr>
              <w:t>3.</w:t>
            </w:r>
            <w:r>
              <w:rPr>
                <w:rFonts w:hint="eastAsia" w:ascii="宋体" w:hAnsi="宋体" w:eastAsia="宋体" w:cs="Times New Roman"/>
                <w:kern w:val="0"/>
                <w:sz w:val="21"/>
                <w:szCs w:val="21"/>
              </w:rPr>
              <w:t xml:space="preserve"> 重要指标参数（▲）负偏离，每条扣</w:t>
            </w:r>
            <w:r>
              <w:rPr>
                <w:rFonts w:ascii="宋体" w:hAnsi="宋体" w:eastAsia="宋体" w:cs="Times New Roman"/>
                <w:kern w:val="0"/>
                <w:sz w:val="21"/>
                <w:szCs w:val="21"/>
              </w:rPr>
              <w:t>3</w:t>
            </w:r>
            <w:r>
              <w:rPr>
                <w:rFonts w:hint="eastAsia" w:ascii="宋体" w:hAnsi="宋体" w:eastAsia="宋体" w:cs="Times New Roman"/>
                <w:kern w:val="0"/>
                <w:sz w:val="21"/>
                <w:szCs w:val="21"/>
              </w:rPr>
              <w:t>分，扣完为止；</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w:t>
            </w:r>
            <w:r>
              <w:rPr>
                <w:rFonts w:hint="eastAsia" w:ascii="宋体" w:hAnsi="宋体" w:eastAsia="宋体" w:cs="Times New Roman"/>
                <w:kern w:val="0"/>
                <w:sz w:val="21"/>
                <w:szCs w:val="21"/>
                <w:lang w:val="zh-CN"/>
              </w:rPr>
              <w:t xml:space="preserve"> 一般技术指标参数</w:t>
            </w:r>
            <w:r>
              <w:rPr>
                <w:rFonts w:hint="eastAsia" w:ascii="宋体" w:hAnsi="宋体" w:eastAsia="宋体" w:cs="Times New Roman"/>
                <w:kern w:val="0"/>
                <w:sz w:val="21"/>
                <w:szCs w:val="21"/>
              </w:rPr>
              <w:t>负偏离，每条扣</w:t>
            </w:r>
            <w:r>
              <w:rPr>
                <w:rFonts w:ascii="宋体" w:hAnsi="宋体" w:eastAsia="宋体" w:cs="Times New Roman"/>
                <w:kern w:val="0"/>
                <w:sz w:val="21"/>
                <w:szCs w:val="21"/>
              </w:rPr>
              <w:t>1</w:t>
            </w:r>
            <w:r>
              <w:rPr>
                <w:rFonts w:hint="eastAsia" w:ascii="宋体" w:hAnsi="宋体" w:eastAsia="宋体" w:cs="Times New Roman"/>
                <w:kern w:val="0"/>
                <w:sz w:val="21"/>
                <w:szCs w:val="21"/>
              </w:rPr>
              <w:t>分，扣完为止</w:t>
            </w:r>
          </w:p>
        </w:tc>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kern w:val="0"/>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tcBorders>
            <w:shd w:val="clear" w:color="auto" w:fill="auto"/>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产品配置不齐全或性能用途与招标要求不符，“产品技术性能指标参数满足偏离情况”总得分为0分。</w:t>
            </w:r>
          </w:p>
        </w:tc>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售后</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服务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（10分）</w:t>
            </w: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供货周期：是否提供明确、合理的项目实施周期和进度表。最优得标准分，其余依次递减0.5分，最低得0分。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根据企业服务方式、现场支持、服务费用、服务等级等因素评分，最优得标准分，其余依次递减0.5分，最低得0分。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根据硬件使用过程中安全服务和后期技术咨询承诺情况评分，最优得标准分，其余依次递减0.5分，最低得0分。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姚老师、陈老师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023-68766150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且通过医院价格审核，确定该项目排名第一的报价方为该项目成交人。</w:t>
      </w:r>
      <w:r>
        <w:rPr>
          <w:rFonts w:hint="eastAsia" w:ascii="宋体" w:hAnsi="宋体" w:eastAsia="宋体" w:cs="宋体"/>
          <w:snapToGrid w:val="0"/>
          <w:kern w:val="0"/>
          <w:sz w:val="24"/>
          <w:szCs w:val="24"/>
        </w:rPr>
        <w:t>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172690"/>
      <w:bookmarkStart w:id="18" w:name="_Toc43485654"/>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spacing w:line="360" w:lineRule="auto"/>
        <w:ind w:right="1212"/>
        <w:jc w:val="center"/>
        <w:rPr>
          <w:rFonts w:ascii="宋体" w:hAnsi="宋体"/>
          <w:b/>
          <w:bCs/>
          <w:szCs w:val="21"/>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hint="eastAsia" w:ascii="宋体" w:hAnsi="宋体"/>
          <w:b/>
          <w:bCs/>
          <w:szCs w:val="21"/>
        </w:rPr>
        <w:t xml:space="preserve">                   </w:t>
      </w:r>
      <w:r>
        <w:rPr>
          <w:rFonts w:hint="eastAsia" w:ascii="宋体" w:hAnsi="宋体"/>
          <w:sz w:val="18"/>
          <w:szCs w:val="18"/>
        </w:rPr>
        <w:t>合同编号：</w:t>
      </w:r>
      <w:r>
        <w:rPr>
          <w:rFonts w:hint="eastAsia" w:ascii="宋体" w:hAnsi="宋体"/>
          <w:sz w:val="18"/>
          <w:szCs w:val="18"/>
          <w:u w:val="single"/>
        </w:rPr>
        <w:t xml:space="preserve">                  </w:t>
      </w:r>
    </w:p>
    <w:p>
      <w:pPr>
        <w:spacing w:line="360" w:lineRule="auto"/>
        <w:jc w:val="center"/>
        <w:rPr>
          <w:rFonts w:ascii="宋体" w:hAnsi="宋体"/>
          <w:b/>
          <w:bCs/>
          <w:sz w:val="72"/>
          <w:szCs w:val="72"/>
        </w:rPr>
      </w:pPr>
    </w:p>
    <w:p>
      <w:pPr>
        <w:spacing w:line="360" w:lineRule="auto"/>
        <w:jc w:val="center"/>
        <w:rPr>
          <w:rFonts w:ascii="宋体" w:hAnsi="宋体"/>
          <w:b/>
          <w:bCs/>
          <w:sz w:val="72"/>
          <w:szCs w:val="72"/>
        </w:rPr>
      </w:pPr>
      <w:r>
        <w:rPr>
          <w:rFonts w:hint="eastAsia" w:ascii="宋体" w:hAnsi="宋体"/>
          <w:b/>
          <w:bCs/>
          <w:sz w:val="72"/>
          <w:szCs w:val="72"/>
        </w:rPr>
        <w:t>信息类项目合同书</w:t>
      </w:r>
    </w:p>
    <w:p>
      <w:pPr>
        <w:spacing w:line="360" w:lineRule="auto"/>
        <w:ind w:left="700" w:hanging="698" w:hangingChars="99"/>
        <w:jc w:val="center"/>
        <w:rPr>
          <w:rFonts w:ascii="宋体" w:hAnsi="宋体"/>
          <w:b/>
          <w:bCs/>
          <w:sz w:val="72"/>
          <w:szCs w:val="72"/>
        </w:rPr>
      </w:pPr>
    </w:p>
    <w:p>
      <w:pPr>
        <w:spacing w:line="360" w:lineRule="auto"/>
        <w:rPr>
          <w:rFonts w:ascii="宋体" w:hAnsi="宋体"/>
          <w:b/>
          <w:bCs/>
          <w:sz w:val="32"/>
          <w:szCs w:val="32"/>
        </w:rPr>
      </w:pPr>
    </w:p>
    <w:p>
      <w:pPr>
        <w:spacing w:line="360" w:lineRule="auto"/>
        <w:ind w:firstLine="854" w:firstLineChars="280"/>
        <w:rPr>
          <w:rFonts w:ascii="宋体" w:hAnsi="宋体"/>
          <w:b/>
          <w:bCs/>
          <w:sz w:val="32"/>
          <w:szCs w:val="32"/>
        </w:rPr>
      </w:pPr>
      <w:r>
        <w:rPr>
          <w:rFonts w:hint="eastAsia" w:ascii="宋体" w:hAnsi="宋体"/>
          <w:b/>
          <w:bCs/>
          <w:sz w:val="32"/>
          <w:szCs w:val="32"/>
        </w:rPr>
        <w:t xml:space="preserve">项目名称: </w:t>
      </w:r>
    </w:p>
    <w:p>
      <w:pPr>
        <w:spacing w:line="360" w:lineRule="auto"/>
        <w:ind w:firstLine="854" w:firstLineChars="280"/>
        <w:rPr>
          <w:rFonts w:ascii="宋体" w:hAnsi="宋体"/>
          <w:b/>
          <w:bCs/>
          <w:sz w:val="32"/>
          <w:szCs w:val="32"/>
        </w:rPr>
      </w:pPr>
      <w:r>
        <w:rPr>
          <w:rFonts w:hint="eastAsia" w:ascii="宋体" w:hAnsi="宋体"/>
          <w:b/>
          <w:bCs/>
          <w:sz w:val="32"/>
          <w:szCs w:val="32"/>
        </w:rPr>
        <w:t>项目编号:</w:t>
      </w:r>
    </w:p>
    <w:p>
      <w:pPr>
        <w:spacing w:line="360" w:lineRule="auto"/>
        <w:ind w:firstLine="854" w:firstLineChars="280"/>
        <w:rPr>
          <w:rFonts w:ascii="宋体" w:hAnsi="宋体"/>
          <w:b/>
          <w:bCs/>
          <w:sz w:val="32"/>
          <w:szCs w:val="32"/>
          <w:u w:val="single"/>
        </w:rPr>
      </w:pPr>
      <w:r>
        <w:rPr>
          <w:rFonts w:hint="eastAsia" w:ascii="宋体" w:hAnsi="宋体"/>
          <w:b/>
          <w:bCs/>
          <w:sz w:val="32"/>
          <w:szCs w:val="32"/>
        </w:rPr>
        <w:t>甲    方:</w:t>
      </w:r>
    </w:p>
    <w:p>
      <w:pPr>
        <w:spacing w:line="360" w:lineRule="auto"/>
        <w:ind w:firstLine="854" w:firstLineChars="280"/>
        <w:rPr>
          <w:rFonts w:ascii="宋体" w:hAnsi="宋体"/>
          <w:b/>
          <w:bCs/>
          <w:sz w:val="32"/>
          <w:szCs w:val="32"/>
          <w:u w:val="single"/>
        </w:rPr>
      </w:pPr>
      <w:r>
        <w:rPr>
          <w:rFonts w:hint="eastAsia" w:ascii="宋体" w:hAnsi="宋体"/>
          <w:b/>
          <w:bCs/>
          <w:sz w:val="32"/>
          <w:szCs w:val="32"/>
        </w:rPr>
        <w:t>乙    方:</w:t>
      </w:r>
    </w:p>
    <w:p>
      <w:pPr>
        <w:spacing w:line="360" w:lineRule="auto"/>
        <w:rPr>
          <w:rFonts w:ascii="宋体" w:hAnsi="宋体"/>
          <w:b/>
          <w:bCs/>
          <w:sz w:val="32"/>
          <w:szCs w:val="32"/>
        </w:rPr>
      </w:pPr>
    </w:p>
    <w:p>
      <w:pPr>
        <w:spacing w:line="360" w:lineRule="auto"/>
        <w:ind w:firstLine="2989" w:firstLineChars="980"/>
        <w:rPr>
          <w:rFonts w:ascii="宋体" w:hAnsi="宋体"/>
          <w:b/>
          <w:bCs/>
          <w:sz w:val="32"/>
          <w:szCs w:val="32"/>
        </w:rPr>
      </w:pPr>
    </w:p>
    <w:p>
      <w:pPr>
        <w:spacing w:line="360" w:lineRule="auto"/>
        <w:ind w:firstLine="2496" w:firstLineChars="1280"/>
        <w:rPr>
          <w:rFonts w:ascii="宋体" w:hAnsi="宋体"/>
          <w:bCs/>
        </w:rPr>
      </w:pPr>
      <w:r>
        <w:rPr>
          <w:rFonts w:hint="eastAsia" w:ascii="宋体" w:hAnsi="宋体"/>
          <w:bCs/>
        </w:rPr>
        <w:t>签署日期：   年   月   日</w:t>
      </w: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adjustRightInd w:val="0"/>
        <w:snapToGrid w:val="0"/>
        <w:spacing w:line="360" w:lineRule="auto"/>
        <w:jc w:val="left"/>
        <w:rPr>
          <w:sz w:val="24"/>
        </w:rPr>
      </w:pPr>
      <w:r>
        <w:rPr>
          <w:rFonts w:hint="eastAsia"/>
          <w:sz w:val="24"/>
        </w:rPr>
        <w:t>根据《中华人民共和国合同法》的有关规定，就甲方向乙方订购“</w:t>
      </w:r>
      <w:r>
        <w:rPr>
          <w:rFonts w:hint="eastAsia"/>
          <w:sz w:val="24"/>
          <w:u w:val="single"/>
        </w:rPr>
        <w:t xml:space="preserve">             </w:t>
      </w:r>
      <w:r>
        <w:rPr>
          <w:rFonts w:hint="eastAsia"/>
          <w:sz w:val="24"/>
        </w:rPr>
        <w:t>”，甲、乙双方在平等、自愿的基础上，经过充分协商一致，达成如下合同，以便共同遵守：</w:t>
      </w:r>
    </w:p>
    <w:p>
      <w:pPr>
        <w:spacing w:beforeLines="50" w:line="440" w:lineRule="exact"/>
        <w:rPr>
          <w:b/>
          <w:sz w:val="24"/>
        </w:rPr>
      </w:pPr>
      <w:r>
        <w:rPr>
          <w:rFonts w:hint="eastAsia"/>
          <w:b/>
          <w:sz w:val="24"/>
        </w:rPr>
        <w:t>一、产品</w:t>
      </w:r>
      <w:r>
        <w:rPr>
          <w:rFonts w:hint="eastAsia" w:ascii="宋体" w:hAnsi="宋体"/>
          <w:b/>
          <w:color w:val="000000"/>
          <w:sz w:val="24"/>
        </w:rPr>
        <w:t>清单列表</w:t>
      </w:r>
    </w:p>
    <w:tbl>
      <w:tblPr>
        <w:tblStyle w:val="18"/>
        <w:tblW w:w="99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984"/>
        <w:gridCol w:w="709"/>
        <w:gridCol w:w="1559"/>
        <w:gridCol w:w="1134"/>
        <w:gridCol w:w="127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86" w:type="dxa"/>
            <w:vAlign w:val="center"/>
          </w:tcPr>
          <w:p>
            <w:pPr>
              <w:spacing w:line="360" w:lineRule="auto"/>
              <w:jc w:val="center"/>
              <w:rPr>
                <w:rFonts w:ascii="宋体" w:hAnsi="宋体"/>
                <w:sz w:val="24"/>
              </w:rPr>
            </w:pPr>
            <w:r>
              <w:rPr>
                <w:rFonts w:hint="eastAsia" w:ascii="宋体" w:hAnsi="宋体"/>
                <w:sz w:val="24"/>
              </w:rPr>
              <w:t>产品</w:t>
            </w:r>
            <w:r>
              <w:rPr>
                <w:rFonts w:ascii="宋体" w:hAnsi="宋体"/>
                <w:sz w:val="24"/>
              </w:rPr>
              <w:t>名称</w:t>
            </w:r>
          </w:p>
        </w:tc>
        <w:tc>
          <w:tcPr>
            <w:tcW w:w="1984" w:type="dxa"/>
            <w:vAlign w:val="center"/>
          </w:tcPr>
          <w:p>
            <w:pPr>
              <w:spacing w:line="360" w:lineRule="auto"/>
              <w:jc w:val="center"/>
              <w:rPr>
                <w:rFonts w:ascii="宋体" w:hAnsi="宋体"/>
                <w:sz w:val="24"/>
              </w:rPr>
            </w:pPr>
            <w:r>
              <w:rPr>
                <w:rFonts w:ascii="宋体" w:hAnsi="宋体"/>
                <w:sz w:val="24"/>
              </w:rPr>
              <w:t>规格型号</w:t>
            </w:r>
          </w:p>
        </w:tc>
        <w:tc>
          <w:tcPr>
            <w:tcW w:w="709" w:type="dxa"/>
            <w:vAlign w:val="center"/>
          </w:tcPr>
          <w:p>
            <w:pPr>
              <w:spacing w:line="360" w:lineRule="auto"/>
              <w:jc w:val="center"/>
              <w:rPr>
                <w:rFonts w:ascii="宋体" w:hAnsi="宋体"/>
                <w:sz w:val="24"/>
              </w:rPr>
            </w:pPr>
            <w:r>
              <w:rPr>
                <w:rFonts w:ascii="宋体" w:hAnsi="宋体"/>
                <w:sz w:val="24"/>
              </w:rPr>
              <w:t>数量</w:t>
            </w:r>
          </w:p>
        </w:tc>
        <w:tc>
          <w:tcPr>
            <w:tcW w:w="1559" w:type="dxa"/>
            <w:vAlign w:val="center"/>
          </w:tcPr>
          <w:p>
            <w:pPr>
              <w:spacing w:line="360" w:lineRule="auto"/>
              <w:jc w:val="center"/>
              <w:rPr>
                <w:rFonts w:ascii="宋体" w:hAnsi="宋体"/>
                <w:sz w:val="24"/>
              </w:rPr>
            </w:pPr>
            <w:r>
              <w:rPr>
                <w:rFonts w:ascii="宋体" w:hAnsi="宋体"/>
                <w:sz w:val="24"/>
              </w:rPr>
              <w:t>单价</w:t>
            </w:r>
          </w:p>
        </w:tc>
        <w:tc>
          <w:tcPr>
            <w:tcW w:w="1134" w:type="dxa"/>
            <w:vAlign w:val="center"/>
          </w:tcPr>
          <w:p>
            <w:pPr>
              <w:spacing w:line="360" w:lineRule="auto"/>
              <w:jc w:val="center"/>
              <w:rPr>
                <w:rFonts w:ascii="宋体" w:hAnsi="宋体"/>
                <w:sz w:val="24"/>
              </w:rPr>
            </w:pPr>
            <w:r>
              <w:rPr>
                <w:rFonts w:ascii="宋体" w:hAnsi="宋体"/>
                <w:sz w:val="24"/>
              </w:rPr>
              <w:t>总价</w:t>
            </w:r>
          </w:p>
        </w:tc>
        <w:tc>
          <w:tcPr>
            <w:tcW w:w="1276" w:type="dxa"/>
            <w:vAlign w:val="center"/>
          </w:tcPr>
          <w:p>
            <w:pPr>
              <w:spacing w:line="360" w:lineRule="auto"/>
              <w:jc w:val="center"/>
              <w:rPr>
                <w:rFonts w:ascii="宋体" w:hAnsi="宋体"/>
                <w:sz w:val="24"/>
              </w:rPr>
            </w:pPr>
            <w:r>
              <w:rPr>
                <w:rFonts w:ascii="宋体" w:hAnsi="宋体"/>
                <w:sz w:val="24"/>
              </w:rPr>
              <w:t>交货时间</w:t>
            </w:r>
          </w:p>
        </w:tc>
        <w:tc>
          <w:tcPr>
            <w:tcW w:w="1298" w:type="dxa"/>
            <w:vAlign w:val="center"/>
          </w:tcPr>
          <w:p>
            <w:pPr>
              <w:spacing w:line="360" w:lineRule="auto"/>
              <w:jc w:val="center"/>
              <w:rPr>
                <w:rFonts w:ascii="宋体" w:hAnsi="宋体"/>
                <w:sz w:val="24"/>
              </w:rPr>
            </w:pPr>
            <w:r>
              <w:rPr>
                <w:rFonts w:ascii="宋体" w:hAnsi="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jc w:val="left"/>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restart"/>
            <w:vAlign w:val="center"/>
          </w:tcPr>
          <w:p>
            <w:pPr>
              <w:spacing w:line="360" w:lineRule="auto"/>
              <w:rPr>
                <w:rFonts w:ascii="宋体" w:hAnsi="宋体"/>
                <w:sz w:val="24"/>
              </w:rPr>
            </w:pPr>
          </w:p>
        </w:tc>
        <w:tc>
          <w:tcPr>
            <w:tcW w:w="1298" w:type="dxa"/>
            <w:vMerge w:val="restar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946" w:type="dxa"/>
            <w:gridSpan w:val="7"/>
            <w:vAlign w:val="center"/>
          </w:tcPr>
          <w:p>
            <w:pPr>
              <w:spacing w:line="360" w:lineRule="auto"/>
              <w:rPr>
                <w:rFonts w:ascii="宋体" w:hAnsi="宋体"/>
                <w:sz w:val="24"/>
              </w:rPr>
            </w:pPr>
            <w:r>
              <w:rPr>
                <w:rFonts w:ascii="宋体" w:hAnsi="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ascii="宋体" w:hAnsi="宋体"/>
                <w:sz w:val="24"/>
              </w:rPr>
              <w:t xml:space="preserve">合计人民币（大写）：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hint="eastAsia" w:ascii="宋体" w:hAnsi="宋体"/>
                <w:sz w:val="24"/>
              </w:rPr>
              <w:t>备注：具体配置请详见附件</w:t>
            </w:r>
          </w:p>
        </w:tc>
      </w:tr>
    </w:tbl>
    <w:p>
      <w:pPr>
        <w:spacing w:line="440" w:lineRule="exact"/>
        <w:rPr>
          <w:rFonts w:ascii="宋体" w:hAnsi="宋体"/>
          <w:sz w:val="24"/>
        </w:rPr>
      </w:pPr>
    </w:p>
    <w:p>
      <w:pPr>
        <w:spacing w:line="440" w:lineRule="exact"/>
        <w:rPr>
          <w:b/>
          <w:sz w:val="24"/>
        </w:rPr>
      </w:pPr>
      <w:bookmarkStart w:id="19" w:name="_Toc86481558"/>
      <w:r>
        <w:rPr>
          <w:rFonts w:hint="eastAsia"/>
          <w:b/>
          <w:sz w:val="24"/>
        </w:rPr>
        <w:t>二、</w:t>
      </w:r>
      <w:bookmarkEnd w:id="19"/>
      <w:r>
        <w:rPr>
          <w:rFonts w:hint="eastAsia"/>
          <w:b/>
          <w:sz w:val="24"/>
        </w:rPr>
        <w:t>交货期</w:t>
      </w:r>
    </w:p>
    <w:p>
      <w:pPr>
        <w:adjustRightInd w:val="0"/>
        <w:snapToGrid w:val="0"/>
        <w:spacing w:line="360" w:lineRule="auto"/>
        <w:ind w:firstLine="540"/>
        <w:rPr>
          <w:rFonts w:ascii="宋体" w:hAnsi="宋体"/>
          <w:sz w:val="24"/>
        </w:rPr>
      </w:pPr>
      <w:r>
        <w:rPr>
          <w:rFonts w:hint="eastAsia" w:ascii="宋体" w:hAnsi="宋体"/>
          <w:sz w:val="24"/>
        </w:rPr>
        <w:t>合同签订后</w:t>
      </w:r>
      <w:r>
        <w:rPr>
          <w:rFonts w:hint="eastAsia" w:ascii="宋体" w:hAnsi="宋体"/>
          <w:sz w:val="24"/>
          <w:u w:val="single"/>
        </w:rPr>
        <w:t xml:space="preserve">          </w:t>
      </w:r>
      <w:r>
        <w:rPr>
          <w:rFonts w:hint="eastAsia" w:ascii="宋体" w:hAnsi="宋体"/>
          <w:sz w:val="24"/>
        </w:rPr>
        <w:t>天内完成</w:t>
      </w:r>
      <w:r>
        <w:rPr>
          <w:rFonts w:ascii="宋体" w:hAnsi="宋体"/>
          <w:sz w:val="24"/>
        </w:rPr>
        <w:t>交货并完成安装调试</w:t>
      </w:r>
      <w:r>
        <w:rPr>
          <w:rFonts w:hint="eastAsia" w:ascii="宋体" w:hAnsi="宋体"/>
          <w:sz w:val="24"/>
        </w:rPr>
        <w:t>。</w:t>
      </w:r>
    </w:p>
    <w:p>
      <w:pPr>
        <w:adjustRightInd w:val="0"/>
        <w:snapToGrid w:val="0"/>
        <w:spacing w:line="360" w:lineRule="auto"/>
        <w:ind w:firstLine="540"/>
        <w:rPr>
          <w:rFonts w:ascii="宋体" w:hAnsi="宋体"/>
          <w:sz w:val="24"/>
        </w:rPr>
      </w:pPr>
    </w:p>
    <w:p>
      <w:pPr>
        <w:spacing w:line="440" w:lineRule="exact"/>
        <w:rPr>
          <w:b/>
          <w:sz w:val="24"/>
        </w:rPr>
      </w:pPr>
      <w:bookmarkStart w:id="20" w:name="_Toc86481561"/>
      <w:r>
        <w:rPr>
          <w:rFonts w:hint="eastAsia"/>
          <w:b/>
          <w:sz w:val="24"/>
        </w:rPr>
        <w:t>三、</w:t>
      </w:r>
      <w:bookmarkEnd w:id="20"/>
      <w:r>
        <w:rPr>
          <w:rFonts w:hint="eastAsia"/>
          <w:b/>
          <w:sz w:val="24"/>
        </w:rPr>
        <w:t>原厂质保期</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r>
        <w:rPr>
          <w:rFonts w:hint="eastAsia" w:ascii="宋体" w:hAnsi="宋体" w:eastAsia="宋体"/>
          <w:kern w:val="2"/>
          <w:sz w:val="24"/>
          <w:szCs w:val="24"/>
        </w:rPr>
        <w:t>质保期：</w:t>
      </w:r>
      <w:r>
        <w:rPr>
          <w:rFonts w:hint="eastAsia" w:ascii="宋体" w:hAnsi="宋体" w:eastAsia="宋体"/>
          <w:kern w:val="2"/>
          <w:sz w:val="24"/>
          <w:szCs w:val="24"/>
          <w:u w:val="single"/>
        </w:rPr>
        <w:t xml:space="preserve">             </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p>
    <w:p>
      <w:pPr>
        <w:spacing w:line="440" w:lineRule="exact"/>
        <w:rPr>
          <w:b/>
          <w:sz w:val="24"/>
        </w:rPr>
      </w:pPr>
      <w:bookmarkStart w:id="21" w:name="_Toc86481563"/>
      <w:r>
        <w:rPr>
          <w:rFonts w:hint="eastAsia"/>
          <w:b/>
          <w:sz w:val="24"/>
        </w:rPr>
        <w:t>四、</w:t>
      </w:r>
      <w:bookmarkEnd w:id="21"/>
      <w:r>
        <w:rPr>
          <w:rFonts w:hint="eastAsia"/>
          <w:b/>
          <w:sz w:val="24"/>
        </w:rPr>
        <w:t>验收</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rPr>
      </w:pPr>
      <w:r>
        <w:rPr>
          <w:rFonts w:hint="eastAsia" w:ascii="宋体" w:hAnsi="宋体" w:eastAsia="宋体"/>
          <w:kern w:val="2"/>
          <w:sz w:val="24"/>
          <w:szCs w:val="24"/>
        </w:rPr>
        <w:t>安装调试完成</w:t>
      </w:r>
      <w:r>
        <w:rPr>
          <w:rFonts w:hint="eastAsia" w:ascii="宋体" w:hAnsi="宋体" w:eastAsia="宋体"/>
          <w:kern w:val="2"/>
          <w:sz w:val="24"/>
          <w:szCs w:val="24"/>
          <w:u w:val="single"/>
        </w:rPr>
        <w:t>10</w:t>
      </w:r>
      <w:r>
        <w:rPr>
          <w:rFonts w:hint="eastAsia" w:ascii="宋体" w:hAnsi="宋体" w:eastAsia="宋体"/>
          <w:kern w:val="2"/>
          <w:sz w:val="24"/>
          <w:szCs w:val="24"/>
        </w:rPr>
        <w:t>日后甲方组织相关人员进行验收，验收报告由甲方签字，乙方需出具相关硬件技术资料、文档给甲方。</w:t>
      </w:r>
    </w:p>
    <w:p>
      <w:pPr>
        <w:spacing w:line="440" w:lineRule="exact"/>
        <w:rPr>
          <w:b/>
          <w:sz w:val="24"/>
        </w:rPr>
      </w:pPr>
      <w:bookmarkStart w:id="22" w:name="_Toc39653189"/>
      <w:bookmarkStart w:id="23" w:name="_Toc39653413"/>
      <w:r>
        <w:rPr>
          <w:rFonts w:hint="eastAsia"/>
          <w:b/>
          <w:sz w:val="24"/>
        </w:rPr>
        <w:t>五、付款方式</w:t>
      </w:r>
      <w:bookmarkEnd w:id="22"/>
      <w:bookmarkEnd w:id="23"/>
    </w:p>
    <w:p>
      <w:pPr>
        <w:adjustRightInd w:val="0"/>
        <w:snapToGrid w:val="0"/>
        <w:spacing w:line="360" w:lineRule="auto"/>
        <w:ind w:firstLine="450" w:firstLineChars="200"/>
        <w:rPr>
          <w:rFonts w:ascii="宋体" w:hAnsi="宋体"/>
          <w:sz w:val="24"/>
        </w:rPr>
      </w:pPr>
      <w:r>
        <w:rPr>
          <w:rFonts w:hint="eastAsia" w:ascii="宋体" w:hAnsi="宋体"/>
          <w:sz w:val="24"/>
        </w:rPr>
        <w:t>甲方验收合格后，依据验收表和发票，甲方在两个月内向乙方支付合同总额的95%，即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，余5%即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，作为质保金质保期满后支付。</w:t>
      </w:r>
    </w:p>
    <w:p>
      <w:pPr>
        <w:adjustRightInd w:val="0"/>
        <w:snapToGrid w:val="0"/>
        <w:spacing w:line="360" w:lineRule="auto"/>
        <w:rPr>
          <w:rFonts w:ascii="宋体" w:hAnsi="宋体"/>
          <w:sz w:val="24"/>
        </w:rPr>
      </w:pPr>
    </w:p>
    <w:p>
      <w:pPr>
        <w:spacing w:line="440" w:lineRule="exact"/>
        <w:rPr>
          <w:b/>
          <w:sz w:val="24"/>
        </w:rPr>
      </w:pPr>
      <w:bookmarkStart w:id="24" w:name="_Toc39653414"/>
      <w:bookmarkStart w:id="25" w:name="_Toc39653190"/>
      <w:r>
        <w:rPr>
          <w:rFonts w:hint="eastAsia"/>
          <w:b/>
          <w:sz w:val="24"/>
        </w:rPr>
        <w:t>六、售后服务</w:t>
      </w:r>
      <w:bookmarkEnd w:id="24"/>
      <w:bookmarkEnd w:id="25"/>
    </w:p>
    <w:p>
      <w:pPr>
        <w:adjustRightInd w:val="0"/>
        <w:snapToGrid w:val="0"/>
        <w:spacing w:line="360" w:lineRule="auto"/>
        <w:ind w:firstLine="450" w:firstLineChars="200"/>
        <w:rPr>
          <w:rFonts w:ascii="宋体" w:hAnsi="宋体"/>
          <w:sz w:val="24"/>
        </w:rPr>
      </w:pPr>
      <w:r>
        <w:rPr>
          <w:rFonts w:hint="eastAsia" w:ascii="宋体" w:hAnsi="宋体"/>
          <w:sz w:val="24"/>
        </w:rPr>
        <w:t>免费保修按原厂商保修条款执行，保修日期从 验收之日 起计算，质保期限为          年。保修期内出现质量问题，由乙方负责免费维修。</w:t>
      </w:r>
    </w:p>
    <w:p>
      <w:pPr>
        <w:adjustRightInd w:val="0"/>
        <w:snapToGrid w:val="0"/>
        <w:spacing w:line="360" w:lineRule="auto"/>
        <w:ind w:firstLine="450" w:firstLineChars="200"/>
        <w:rPr>
          <w:rFonts w:ascii="宋体" w:hAnsi="宋体"/>
          <w:sz w:val="24"/>
        </w:rPr>
      </w:pPr>
      <w:r>
        <w:rPr>
          <w:rFonts w:hint="eastAsia" w:ascii="宋体" w:hAnsi="宋体"/>
          <w:sz w:val="24"/>
        </w:rPr>
        <w:t>质保期内出现质量问题，乙方在接到通知后</w:t>
      </w:r>
      <w:r>
        <w:rPr>
          <w:rFonts w:hint="eastAsia" w:ascii="宋体" w:hAnsi="宋体"/>
          <w:sz w:val="24"/>
          <w:u w:val="single"/>
        </w:rPr>
        <w:t xml:space="preserve">        </w:t>
      </w:r>
      <w:r>
        <w:rPr>
          <w:rFonts w:hint="eastAsia" w:ascii="宋体" w:hAnsi="宋体"/>
          <w:sz w:val="24"/>
        </w:rPr>
        <w:t>内响应，</w:t>
      </w:r>
      <w:r>
        <w:rPr>
          <w:rFonts w:hint="eastAsia" w:ascii="宋体" w:hAnsi="宋体"/>
          <w:sz w:val="24"/>
          <w:u w:val="single"/>
        </w:rPr>
        <w:t xml:space="preserve">      </w:t>
      </w:r>
      <w:r>
        <w:rPr>
          <w:rFonts w:hint="eastAsia" w:ascii="宋体" w:hAnsi="宋体"/>
          <w:sz w:val="24"/>
        </w:rPr>
        <w:t>小时内到场，乙方负责维修或更换，并承担修理调换的费用(含保修期内所更换零部件费用)，人为损坏不在保修范围内。</w:t>
      </w:r>
    </w:p>
    <w:p>
      <w:pPr>
        <w:adjustRightInd w:val="0"/>
        <w:snapToGrid w:val="0"/>
        <w:spacing w:line="360" w:lineRule="auto"/>
        <w:rPr>
          <w:rFonts w:ascii="宋体" w:hAnsi="宋体"/>
          <w:color w:val="000000"/>
          <w:sz w:val="24"/>
        </w:rPr>
      </w:pPr>
    </w:p>
    <w:p>
      <w:pPr>
        <w:spacing w:line="440" w:lineRule="exact"/>
        <w:rPr>
          <w:b/>
          <w:sz w:val="24"/>
        </w:rPr>
      </w:pPr>
      <w:bookmarkStart w:id="26" w:name="_Toc39653191"/>
      <w:bookmarkStart w:id="27" w:name="_Toc39653415"/>
      <w:r>
        <w:rPr>
          <w:rFonts w:hint="eastAsia"/>
          <w:b/>
          <w:sz w:val="24"/>
        </w:rPr>
        <w:t>七、双方的权利和义务</w:t>
      </w:r>
      <w:bookmarkEnd w:id="26"/>
      <w:bookmarkEnd w:id="27"/>
    </w:p>
    <w:p>
      <w:pPr>
        <w:adjustRightInd w:val="0"/>
        <w:snapToGrid w:val="0"/>
        <w:spacing w:line="360" w:lineRule="auto"/>
        <w:ind w:firstLine="450" w:firstLineChars="200"/>
        <w:rPr>
          <w:rFonts w:ascii="宋体" w:hAnsi="宋体"/>
          <w:sz w:val="24"/>
        </w:rPr>
      </w:pPr>
      <w:r>
        <w:rPr>
          <w:rFonts w:hint="eastAsia" w:ascii="宋体" w:hAnsi="宋体"/>
          <w:sz w:val="24"/>
        </w:rPr>
        <w:t>1.双方一致同意：在甲方未支付货款的95%之前，本合同项下产品的所有权归乙方所有；</w:t>
      </w:r>
    </w:p>
    <w:p>
      <w:pPr>
        <w:adjustRightInd w:val="0"/>
        <w:snapToGrid w:val="0"/>
        <w:spacing w:line="360" w:lineRule="auto"/>
        <w:ind w:firstLine="450" w:firstLineChars="200"/>
        <w:rPr>
          <w:rFonts w:ascii="宋体" w:hAnsi="宋体"/>
          <w:sz w:val="24"/>
        </w:rPr>
      </w:pPr>
      <w:r>
        <w:rPr>
          <w:rFonts w:hint="eastAsia" w:ascii="宋体" w:hAnsi="宋体"/>
          <w:sz w:val="24"/>
        </w:rPr>
        <w:t>2.产品的运输及保险全部由乙方负责。乙方须采取适于安全、准时完成本合同项下义务的运输措施，将产品运至甲方指定的到货地点；</w:t>
      </w:r>
    </w:p>
    <w:p>
      <w:pPr>
        <w:adjustRightInd w:val="0"/>
        <w:snapToGrid w:val="0"/>
        <w:spacing w:line="360" w:lineRule="auto"/>
        <w:ind w:firstLine="450" w:firstLineChars="200"/>
        <w:rPr>
          <w:rFonts w:ascii="宋体" w:hAnsi="宋体"/>
          <w:sz w:val="24"/>
        </w:rPr>
      </w:pPr>
      <w:r>
        <w:rPr>
          <w:rFonts w:hint="eastAsia" w:ascii="宋体" w:hAnsi="宋体"/>
          <w:sz w:val="24"/>
        </w:rPr>
        <w:t>3.双方一致同意：本合同项下产品毁损、灭失的风险，在乙方交付产品后，由甲方承担。</w:t>
      </w:r>
    </w:p>
    <w:p>
      <w:pPr>
        <w:pStyle w:val="16"/>
        <w:adjustRightInd w:val="0"/>
        <w:snapToGrid w:val="0"/>
        <w:spacing w:line="360" w:lineRule="auto"/>
        <w:ind w:firstLine="450" w:firstLineChars="200"/>
        <w:rPr>
          <w:rFonts w:ascii="宋体" w:hAnsi="宋体" w:eastAsia="宋体"/>
          <w:b/>
          <w:color w:val="000000"/>
          <w:sz w:val="24"/>
          <w:szCs w:val="24"/>
        </w:rPr>
      </w:pPr>
    </w:p>
    <w:p>
      <w:pPr>
        <w:spacing w:line="440" w:lineRule="exact"/>
        <w:rPr>
          <w:b/>
          <w:sz w:val="24"/>
        </w:rPr>
      </w:pPr>
      <w:bookmarkStart w:id="28" w:name="_Toc39653416"/>
      <w:bookmarkStart w:id="29" w:name="_Toc39653192"/>
      <w:r>
        <w:rPr>
          <w:rFonts w:hint="eastAsia"/>
          <w:b/>
          <w:sz w:val="24"/>
        </w:rPr>
        <w:t>八、违约责任</w:t>
      </w:r>
      <w:bookmarkEnd w:id="28"/>
      <w:bookmarkEnd w:id="29"/>
    </w:p>
    <w:p>
      <w:pPr>
        <w:adjustRightInd w:val="0"/>
        <w:snapToGrid w:val="0"/>
        <w:spacing w:line="360" w:lineRule="auto"/>
        <w:ind w:firstLine="450" w:firstLineChars="200"/>
        <w:rPr>
          <w:rFonts w:ascii="宋体" w:hAnsi="宋体"/>
          <w:sz w:val="24"/>
        </w:rPr>
      </w:pPr>
      <w:r>
        <w:rPr>
          <w:rFonts w:hint="eastAsia" w:ascii="宋体" w:hAnsi="宋体"/>
          <w:sz w:val="24"/>
        </w:rPr>
        <w:t>本合同生效后，除不可抗外力影响，双方均不得任意理由终止合同。如单方违约，违约方应承担违约金为本合同的20%。</w:t>
      </w:r>
    </w:p>
    <w:p>
      <w:pPr>
        <w:pStyle w:val="16"/>
        <w:adjustRightInd w:val="0"/>
        <w:snapToGrid w:val="0"/>
        <w:spacing w:line="360" w:lineRule="auto"/>
        <w:rPr>
          <w:rFonts w:ascii="宋体" w:hAnsi="宋体" w:eastAsia="宋体"/>
          <w:color w:val="000000"/>
          <w:sz w:val="24"/>
          <w:szCs w:val="24"/>
        </w:rPr>
      </w:pPr>
      <w:r>
        <w:rPr>
          <w:rFonts w:ascii="宋体" w:hAnsi="宋体" w:eastAsia="宋体"/>
          <w:color w:val="000000"/>
          <w:sz w:val="24"/>
          <w:szCs w:val="24"/>
        </w:rPr>
        <w:t xml:space="preserve"> </w:t>
      </w:r>
    </w:p>
    <w:p>
      <w:pPr>
        <w:spacing w:line="440" w:lineRule="exact"/>
        <w:rPr>
          <w:b/>
          <w:sz w:val="24"/>
        </w:rPr>
      </w:pPr>
      <w:bookmarkStart w:id="30" w:name="_Toc39653193"/>
      <w:bookmarkStart w:id="31" w:name="_Toc39653417"/>
      <w:r>
        <w:rPr>
          <w:rFonts w:hint="eastAsia"/>
          <w:b/>
          <w:sz w:val="24"/>
        </w:rPr>
        <w:t>九、合同争议解决方式</w:t>
      </w:r>
      <w:bookmarkEnd w:id="30"/>
      <w:bookmarkEnd w:id="31"/>
    </w:p>
    <w:p>
      <w:pPr>
        <w:adjustRightInd w:val="0"/>
        <w:snapToGrid w:val="0"/>
        <w:spacing w:line="360" w:lineRule="auto"/>
        <w:ind w:firstLine="450" w:firstLineChars="200"/>
        <w:rPr>
          <w:rFonts w:ascii="宋体" w:hAnsi="宋体"/>
          <w:sz w:val="24"/>
        </w:rPr>
      </w:pPr>
      <w:r>
        <w:rPr>
          <w:rFonts w:hint="eastAsia" w:ascii="宋体" w:hAnsi="宋体"/>
          <w:sz w:val="24"/>
        </w:rPr>
        <w:t>在合同履行期间，如发生争议，双方协商解决，协商不成的，可向甲方项目所在地人民法院提起诉讼。</w:t>
      </w:r>
    </w:p>
    <w:p>
      <w:pPr>
        <w:pStyle w:val="16"/>
        <w:tabs>
          <w:tab w:val="clear" w:pos="916"/>
        </w:tabs>
        <w:adjustRightInd w:val="0"/>
        <w:snapToGrid w:val="0"/>
        <w:spacing w:line="360" w:lineRule="auto"/>
        <w:ind w:firstLine="570"/>
        <w:rPr>
          <w:rFonts w:ascii="宋体" w:hAnsi="宋体" w:eastAsia="宋体"/>
          <w:color w:val="000000"/>
          <w:sz w:val="24"/>
          <w:szCs w:val="24"/>
        </w:rPr>
      </w:pPr>
    </w:p>
    <w:p>
      <w:pPr>
        <w:spacing w:line="440" w:lineRule="exact"/>
        <w:rPr>
          <w:b/>
          <w:sz w:val="24"/>
        </w:rPr>
      </w:pPr>
      <w:bookmarkStart w:id="32" w:name="_Toc39653194"/>
      <w:bookmarkStart w:id="33" w:name="_Toc39653418"/>
      <w:r>
        <w:rPr>
          <w:rFonts w:hint="eastAsia"/>
          <w:b/>
          <w:sz w:val="24"/>
        </w:rPr>
        <w:t>十、合同组成与生效</w:t>
      </w:r>
      <w:bookmarkEnd w:id="32"/>
      <w:bookmarkEnd w:id="33"/>
    </w:p>
    <w:p>
      <w:pPr>
        <w:adjustRightInd w:val="0"/>
        <w:snapToGrid w:val="0"/>
        <w:spacing w:line="360" w:lineRule="auto"/>
        <w:ind w:firstLine="450" w:firstLineChars="200"/>
        <w:rPr>
          <w:rFonts w:ascii="宋体" w:hAnsi="宋体"/>
          <w:sz w:val="24"/>
        </w:rPr>
      </w:pPr>
      <w:r>
        <w:rPr>
          <w:rFonts w:hint="eastAsia" w:ascii="宋体" w:hAnsi="宋体"/>
          <w:sz w:val="24"/>
        </w:rPr>
        <w:t>从合同生效日开始起算，本合同壹式肆份，甲方执叁份，乙方执壹份，签字并加盖公章后生效，希共同遵照执行。谈判、报价文件及其补遗文件和承诺是本合同不可分割的部分，具有同等法律效力。</w:t>
      </w: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tbl>
      <w:tblPr>
        <w:tblStyle w:val="18"/>
        <w:tblW w:w="8460" w:type="dxa"/>
        <w:tblInd w:w="710" w:type="dxa"/>
        <w:tblLayout w:type="fixed"/>
        <w:tblCellMar>
          <w:top w:w="0" w:type="dxa"/>
          <w:left w:w="108" w:type="dxa"/>
          <w:bottom w:w="0" w:type="dxa"/>
          <w:right w:w="108" w:type="dxa"/>
        </w:tblCellMar>
      </w:tblPr>
      <w:tblGrid>
        <w:gridCol w:w="4256"/>
        <w:gridCol w:w="4204"/>
      </w:tblGrid>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r>
              <w:rPr>
                <w:rFonts w:hint="eastAsia" w:ascii="黑体" w:hAnsi="宋体" w:eastAsia="黑体"/>
                <w:b/>
                <w:szCs w:val="21"/>
              </w:rPr>
              <w:t>甲方：陆军军医大学第一附属医院</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c>
          <w:tcPr>
            <w:tcW w:w="4204" w:type="dxa"/>
          </w:tcPr>
          <w:p>
            <w:pPr>
              <w:spacing w:line="360" w:lineRule="atLeast"/>
              <w:rPr>
                <w:rFonts w:ascii="黑体" w:hAnsi="宋体" w:eastAsia="黑体"/>
                <w:b/>
                <w:szCs w:val="21"/>
              </w:rPr>
            </w:pPr>
            <w:r>
              <w:rPr>
                <w:rFonts w:hint="eastAsia" w:ascii="黑体" w:hAnsi="宋体" w:eastAsia="黑体"/>
                <w:b/>
                <w:szCs w:val="21"/>
              </w:rPr>
              <w:t>乙方：</w:t>
            </w:r>
            <w:r>
              <w:rPr>
                <w:rFonts w:ascii="黑体" w:hAnsi="宋体" w:eastAsia="黑体"/>
                <w:b/>
                <w:szCs w:val="21"/>
              </w:rPr>
              <w:t xml:space="preserve"> </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r>
      <w:tr>
        <w:tblPrEx>
          <w:tblCellMar>
            <w:top w:w="0" w:type="dxa"/>
            <w:left w:w="108" w:type="dxa"/>
            <w:bottom w:w="0" w:type="dxa"/>
            <w:right w:w="108" w:type="dxa"/>
          </w:tblCellMar>
        </w:tblPrEx>
        <w:trPr>
          <w:trHeight w:val="1354" w:hRule="atLeast"/>
        </w:trPr>
        <w:tc>
          <w:tcPr>
            <w:tcW w:w="4256" w:type="dxa"/>
          </w:tcPr>
          <w:p>
            <w:pPr>
              <w:spacing w:line="360" w:lineRule="auto"/>
              <w:rPr>
                <w:rFonts w:ascii="黑体" w:hAnsi="宋体" w:eastAsia="黑体"/>
                <w:b/>
                <w:szCs w:val="21"/>
              </w:rPr>
            </w:pPr>
            <w:r>
              <w:rPr>
                <w:rFonts w:hint="eastAsia" w:ascii="黑体" w:hAnsi="宋体" w:eastAsia="黑体"/>
                <w:b/>
                <w:szCs w:val="21"/>
              </w:rPr>
              <w:t>地址:重庆市沙坪坝区高滩岩正街30号</w:t>
            </w:r>
          </w:p>
          <w:p>
            <w:pPr>
              <w:spacing w:line="360" w:lineRule="auto"/>
              <w:rPr>
                <w:rFonts w:ascii="黑体" w:hAnsi="宋体" w:eastAsia="黑体"/>
                <w:b/>
                <w:szCs w:val="21"/>
              </w:rPr>
            </w:pPr>
            <w:r>
              <w:rPr>
                <w:rFonts w:hint="eastAsia" w:ascii="黑体" w:hAnsi="宋体" w:eastAsia="黑体"/>
                <w:b/>
                <w:szCs w:val="21"/>
              </w:rPr>
              <w:t>开户银行：中国银行长江路支行</w:t>
            </w:r>
          </w:p>
          <w:p>
            <w:pPr>
              <w:spacing w:line="360" w:lineRule="auto"/>
              <w:rPr>
                <w:rFonts w:ascii="黑体" w:hAnsi="宋体" w:eastAsia="黑体"/>
                <w:b/>
                <w:szCs w:val="21"/>
              </w:rPr>
            </w:pPr>
            <w:r>
              <w:rPr>
                <w:rFonts w:hint="eastAsia" w:ascii="黑体" w:hAnsi="宋体" w:eastAsia="黑体"/>
                <w:b/>
                <w:szCs w:val="21"/>
              </w:rPr>
              <w:t>账号：113007546980</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 xml:space="preserve">法人委托代理人：  </w:t>
            </w:r>
          </w:p>
        </w:tc>
        <w:tc>
          <w:tcPr>
            <w:tcW w:w="4204" w:type="dxa"/>
          </w:tcPr>
          <w:p>
            <w:pPr>
              <w:spacing w:line="360" w:lineRule="auto"/>
              <w:rPr>
                <w:rFonts w:ascii="黑体" w:hAnsi="宋体" w:eastAsia="黑体"/>
                <w:b/>
                <w:szCs w:val="21"/>
              </w:rPr>
            </w:pPr>
            <w:r>
              <w:rPr>
                <w:rFonts w:hint="eastAsia" w:ascii="黑体" w:hAnsi="宋体" w:eastAsia="黑体"/>
                <w:b/>
                <w:szCs w:val="21"/>
              </w:rPr>
              <w:t>地址：</w:t>
            </w:r>
          </w:p>
          <w:p>
            <w:pPr>
              <w:spacing w:line="360" w:lineRule="auto"/>
              <w:rPr>
                <w:rFonts w:ascii="黑体" w:hAnsi="宋体" w:eastAsia="黑体"/>
                <w:b/>
                <w:szCs w:val="21"/>
              </w:rPr>
            </w:pPr>
            <w:r>
              <w:rPr>
                <w:rFonts w:hint="eastAsia" w:ascii="黑体" w:hAnsi="宋体" w:eastAsia="黑体"/>
                <w:b/>
                <w:szCs w:val="21"/>
              </w:rPr>
              <w:t>开户银行：</w:t>
            </w:r>
            <w:r>
              <w:rPr>
                <w:rFonts w:ascii="黑体" w:hAnsi="宋体" w:eastAsia="黑体"/>
                <w:b/>
                <w:szCs w:val="21"/>
              </w:rPr>
              <w:t xml:space="preserve"> </w:t>
            </w:r>
          </w:p>
          <w:p>
            <w:pPr>
              <w:spacing w:line="360" w:lineRule="auto"/>
              <w:rPr>
                <w:rFonts w:ascii="黑体" w:hAnsi="宋体" w:eastAsia="黑体"/>
                <w:b/>
                <w:szCs w:val="21"/>
              </w:rPr>
            </w:pPr>
            <w:r>
              <w:rPr>
                <w:rFonts w:hint="eastAsia" w:ascii="黑体" w:hAnsi="宋体" w:eastAsia="黑体"/>
                <w:b/>
                <w:szCs w:val="21"/>
              </w:rPr>
              <w:t>账号：</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委托代理人：</w:t>
            </w:r>
          </w:p>
        </w:tc>
      </w:tr>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p>
        </w:tc>
        <w:tc>
          <w:tcPr>
            <w:tcW w:w="4204" w:type="dxa"/>
          </w:tcPr>
          <w:p>
            <w:pPr>
              <w:spacing w:line="360" w:lineRule="auto"/>
              <w:ind w:left="975" w:leftChars="150" w:hanging="683" w:hangingChars="350"/>
              <w:rPr>
                <w:rFonts w:ascii="黑体" w:hAnsi="宋体" w:eastAsia="黑体"/>
                <w:b/>
                <w:szCs w:val="21"/>
              </w:rPr>
            </w:pPr>
          </w:p>
        </w:tc>
      </w:tr>
      <w:tr>
        <w:tblPrEx>
          <w:tblCellMar>
            <w:top w:w="0" w:type="dxa"/>
            <w:left w:w="108" w:type="dxa"/>
            <w:bottom w:w="0" w:type="dxa"/>
            <w:right w:w="108" w:type="dxa"/>
          </w:tblCellMar>
        </w:tblPrEx>
        <w:trPr>
          <w:trHeight w:val="338" w:hRule="atLeast"/>
        </w:trPr>
        <w:tc>
          <w:tcPr>
            <w:tcW w:w="4256" w:type="dxa"/>
          </w:tcPr>
          <w:p>
            <w:pPr>
              <w:spacing w:line="360" w:lineRule="auto"/>
              <w:rPr>
                <w:rFonts w:ascii="黑体" w:hAnsi="宋体" w:eastAsia="黑体"/>
                <w:b/>
                <w:szCs w:val="21"/>
              </w:rPr>
            </w:pPr>
            <w:r>
              <w:rPr>
                <w:rFonts w:hint="eastAsia" w:ascii="黑体" w:hAnsi="宋体" w:eastAsia="黑体"/>
                <w:b/>
                <w:szCs w:val="21"/>
              </w:rPr>
              <w:t>电话：023-68766150</w:t>
            </w:r>
          </w:p>
        </w:tc>
        <w:tc>
          <w:tcPr>
            <w:tcW w:w="4204" w:type="dxa"/>
          </w:tcPr>
          <w:p>
            <w:pPr>
              <w:spacing w:line="360" w:lineRule="auto"/>
              <w:rPr>
                <w:rFonts w:ascii="黑体" w:hAnsi="宋体" w:eastAsia="黑体"/>
                <w:b/>
                <w:szCs w:val="21"/>
              </w:rPr>
            </w:pPr>
            <w:r>
              <w:rPr>
                <w:rFonts w:hint="eastAsia" w:ascii="黑体" w:hAnsi="宋体" w:eastAsia="黑体"/>
                <w:b/>
                <w:szCs w:val="21"/>
              </w:rPr>
              <w:t>电话：</w:t>
            </w:r>
          </w:p>
        </w:tc>
      </w:tr>
    </w:tbl>
    <w:p>
      <w:pPr>
        <w:spacing w:line="360" w:lineRule="exact"/>
        <w:rPr>
          <w:rFonts w:ascii="宋体" w:hAnsi="宋体"/>
          <w:u w:val="single"/>
        </w:rPr>
      </w:pPr>
    </w:p>
    <w:p>
      <w:pPr>
        <w:spacing w:line="360" w:lineRule="exact"/>
        <w:rPr>
          <w:rFonts w:ascii="宋体" w:hAnsi="宋体"/>
          <w:u w:val="single"/>
        </w:rPr>
      </w:pPr>
    </w:p>
    <w:p>
      <w:pPr>
        <w:spacing w:line="360" w:lineRule="exact"/>
        <w:ind w:firstLine="585" w:firstLineChars="300"/>
        <w:rPr>
          <w:rFonts w:ascii="宋体" w:hAnsi="宋体"/>
          <w:b/>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440" w:lineRule="exact"/>
        <w:ind w:firstLine="450" w:firstLineChars="200"/>
        <w:rPr>
          <w:rFonts w:cs="Times New Roman" w:asciiTheme="minorEastAsia" w:hAnsiTheme="minorEastAsia"/>
          <w:kern w:val="0"/>
          <w:sz w:val="24"/>
          <w:szCs w:val="24"/>
        </w:rPr>
      </w:pPr>
    </w:p>
    <w:p>
      <w:pPr>
        <w:adjustRightInd w:val="0"/>
        <w:snapToGrid w:val="0"/>
        <w:jc w:val="cente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功能清单</w:t>
      </w:r>
    </w:p>
    <w:p>
      <w:pP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内容自拟，以实际产品功能为主，格式不限</w:t>
      </w:r>
    </w:p>
    <w:p>
      <w:pPr>
        <w:rPr>
          <w:rFonts w:ascii="黑体" w:hAnsi="Times New Roman" w:eastAsia="黑体" w:cs="Times New Roman"/>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1906" w:h="16838"/>
          <w:pgMar w:top="1134" w:right="567" w:bottom="1134" w:left="1021"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34" w:name="_Toc43485655"/>
      <w:bookmarkStart w:id="35" w:name="_Toc37172691"/>
      <w:bookmarkStart w:id="36" w:name="_Toc435540982"/>
      <w:bookmarkStart w:id="37" w:name="_Toc390713970"/>
      <w:bookmarkStart w:id="38" w:name="_Toc285612604"/>
      <w:bookmarkStart w:id="39" w:name="_Toc240432233"/>
      <w:r>
        <w:rPr>
          <w:rFonts w:hint="eastAsia" w:ascii="黑体" w:hAnsi="黑体" w:eastAsia="黑体" w:cs="Times New Roman"/>
          <w:kern w:val="0"/>
          <w:sz w:val="32"/>
          <w:szCs w:val="32"/>
        </w:rPr>
        <w:t>第五部分  附件/报价文件格式</w:t>
      </w:r>
      <w:bookmarkEnd w:id="34"/>
      <w:bookmarkEnd w:id="35"/>
      <w:bookmarkEnd w:id="36"/>
      <w:bookmarkEnd w:id="37"/>
      <w:bookmarkEnd w:id="38"/>
      <w:bookmarkEnd w:id="39"/>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40"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40"/>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8"/>
        <w:tblW w:w="5000" w:type="pct"/>
        <w:jc w:val="center"/>
        <w:tblLayout w:type="autofit"/>
        <w:tblCellMar>
          <w:top w:w="0" w:type="dxa"/>
          <w:left w:w="0" w:type="dxa"/>
          <w:bottom w:w="0" w:type="dxa"/>
          <w:right w:w="0" w:type="dxa"/>
        </w:tblCellMar>
      </w:tblPr>
      <w:tblGrid>
        <w:gridCol w:w="648"/>
        <w:gridCol w:w="2666"/>
        <w:gridCol w:w="677"/>
        <w:gridCol w:w="1007"/>
        <w:gridCol w:w="2563"/>
        <w:gridCol w:w="1324"/>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222" w:type="pct"/>
        <w:jc w:val="center"/>
        <w:tblLayout w:type="autofit"/>
        <w:tblCellMar>
          <w:top w:w="0" w:type="dxa"/>
          <w:left w:w="108" w:type="dxa"/>
          <w:bottom w:w="0" w:type="dxa"/>
          <w:right w:w="108" w:type="dxa"/>
        </w:tblCellMar>
      </w:tblPr>
      <w:tblGrid>
        <w:gridCol w:w="813"/>
        <w:gridCol w:w="2939"/>
        <w:gridCol w:w="2470"/>
        <w:gridCol w:w="3242"/>
      </w:tblGrid>
      <w:tr>
        <w:tblPrEx>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32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执行标准（国标/行业标准等）</w:t>
            </w: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软件著作权证书或发明专利</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IS09001质量管理体系认证证书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IS027001信息安全管理体系认证证书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高新技术企业证书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5   </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计算机信息系统集成资质证书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CMMI</w:t>
            </w:r>
            <w:r>
              <w:rPr>
                <w:rFonts w:hint="eastAsia"/>
              </w:rPr>
              <w:t>认证证书</w:t>
            </w:r>
            <w:r>
              <w:tab/>
            </w:r>
            <w:r>
              <w:tab/>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7</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业</w:t>
            </w:r>
            <w:r>
              <w:rPr>
                <w:rFonts w:asciiTheme="majorEastAsia" w:hAnsiTheme="majorEastAsia" w:eastAsiaTheme="majorEastAsia"/>
                <w:szCs w:val="21"/>
              </w:rPr>
              <w:t>技术标准、规范、</w:t>
            </w:r>
            <w:r>
              <w:rPr>
                <w:rFonts w:hint="eastAsia" w:asciiTheme="majorEastAsia" w:hAnsiTheme="majorEastAsia" w:eastAsiaTheme="majorEastAsia"/>
                <w:szCs w:val="21"/>
              </w:rPr>
              <w:t>认证</w:t>
            </w:r>
            <w:r>
              <w:rPr>
                <w:rFonts w:asciiTheme="majorEastAsia" w:hAnsiTheme="majorEastAsia" w:eastAsiaTheme="majorEastAsia"/>
                <w:szCs w:val="21"/>
              </w:rPr>
              <w:t>证书</w:t>
            </w:r>
            <w:r>
              <w:rPr>
                <w:rFonts w:hint="eastAsia" w:asciiTheme="majorEastAsia" w:hAnsiTheme="majorEastAsia" w:eastAsiaTheme="majorEastAsia"/>
                <w:szCs w:val="21"/>
              </w:rPr>
              <w:t>、</w:t>
            </w:r>
            <w:r>
              <w:rPr>
                <w:rFonts w:asciiTheme="majorEastAsia" w:hAnsiTheme="majorEastAsia" w:eastAsiaTheme="majorEastAsia"/>
                <w:szCs w:val="21"/>
              </w:rPr>
              <w:t>奖项等品质证明材料</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宋体" w:hAnsi="宋体"/>
                <w:szCs w:val="21"/>
              </w:rPr>
              <w:t>系统分析师、系统构架师、软件工程、数据库专业开发人员、程序员以及有经验的项目管理和组织能力项目经理，并提供相应的高级</w:t>
            </w:r>
            <w:r>
              <w:rPr>
                <w:rFonts w:ascii="宋体" w:hAnsi="宋体"/>
                <w:szCs w:val="21"/>
              </w:rPr>
              <w:t>职称</w:t>
            </w:r>
            <w:r>
              <w:rPr>
                <w:rFonts w:hint="eastAsia" w:ascii="宋体" w:hAnsi="宋体"/>
                <w:szCs w:val="21"/>
              </w:rPr>
              <w:t>资质</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实施周期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人员组织保障</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到位维修响应</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企业服务方式、现场支持、服务费用、服务等级等</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软件运营过程中安全服务和后期技术咨询承诺</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附件14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5</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 xml:space="preserve">附件21    </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技术指标参数要求明细</w:t>
      </w:r>
    </w:p>
    <w:p>
      <w:pPr>
        <w:rPr>
          <w:rFonts w:ascii="黑体" w:eastAsia="黑体"/>
          <w:szCs w:val="21"/>
        </w:rPr>
      </w:pPr>
      <w:r>
        <w:rPr>
          <w:rFonts w:hint="eastAsia" w:ascii="黑体" w:eastAsia="黑体"/>
          <w:szCs w:val="21"/>
        </w:rPr>
        <w:t>一、招标内容一览表</w:t>
      </w:r>
    </w:p>
    <w:tbl>
      <w:tblPr>
        <w:tblStyle w:val="18"/>
        <w:tblpPr w:leftFromText="180" w:rightFromText="180" w:vertAnchor="text" w:horzAnchor="margin" w:tblpY="152"/>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5413"/>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1"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序号</w:t>
            </w:r>
          </w:p>
        </w:tc>
        <w:tc>
          <w:tcPr>
            <w:tcW w:w="5413"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内容</w:t>
            </w:r>
          </w:p>
        </w:tc>
        <w:tc>
          <w:tcPr>
            <w:tcW w:w="2330"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1" w:type="dxa"/>
            <w:vAlign w:val="center"/>
          </w:tcPr>
          <w:p>
            <w:pPr>
              <w:numPr>
                <w:ilvl w:val="0"/>
                <w:numId w:val="2"/>
              </w:numPr>
              <w:jc w:val="center"/>
              <w:rPr>
                <w:rFonts w:cs="Times New Roman" w:asciiTheme="minorEastAsia" w:hAnsiTheme="minorEastAsia"/>
                <w:szCs w:val="21"/>
              </w:rPr>
            </w:pPr>
          </w:p>
        </w:tc>
        <w:tc>
          <w:tcPr>
            <w:tcW w:w="5413" w:type="dxa"/>
            <w:vAlign w:val="center"/>
          </w:tcPr>
          <w:p>
            <w:pPr>
              <w:rPr>
                <w:rFonts w:cs="Times New Roman" w:asciiTheme="minorEastAsia" w:hAnsiTheme="minorEastAsia"/>
                <w:szCs w:val="21"/>
              </w:rPr>
            </w:pPr>
            <w:r>
              <w:rPr>
                <w:rFonts w:hint="eastAsia" w:cs="Times New Roman" w:asciiTheme="minorEastAsia" w:hAnsiTheme="minorEastAsia"/>
                <w:szCs w:val="21"/>
              </w:rPr>
              <w:t>后级功放</w:t>
            </w:r>
          </w:p>
        </w:tc>
        <w:tc>
          <w:tcPr>
            <w:tcW w:w="233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1" w:type="dxa"/>
            <w:vAlign w:val="center"/>
          </w:tcPr>
          <w:p>
            <w:pPr>
              <w:numPr>
                <w:ilvl w:val="0"/>
                <w:numId w:val="2"/>
              </w:numPr>
              <w:jc w:val="center"/>
              <w:rPr>
                <w:rFonts w:cs="Times New Roman" w:asciiTheme="minorEastAsia" w:hAnsiTheme="minorEastAsia"/>
                <w:szCs w:val="21"/>
              </w:rPr>
            </w:pPr>
          </w:p>
        </w:tc>
        <w:tc>
          <w:tcPr>
            <w:tcW w:w="5413" w:type="dxa"/>
            <w:vAlign w:val="center"/>
          </w:tcPr>
          <w:p>
            <w:pPr>
              <w:rPr>
                <w:rFonts w:cs="Times New Roman" w:asciiTheme="minorEastAsia" w:hAnsiTheme="minorEastAsia"/>
                <w:szCs w:val="21"/>
              </w:rPr>
            </w:pPr>
            <w:r>
              <w:rPr>
                <w:rFonts w:hint="eastAsia" w:cs="Times New Roman" w:asciiTheme="minorEastAsia" w:hAnsiTheme="minorEastAsia"/>
                <w:szCs w:val="21"/>
              </w:rPr>
              <w:t>专业</w:t>
            </w:r>
            <w:r>
              <w:rPr>
                <w:rFonts w:cs="Times New Roman" w:asciiTheme="minorEastAsia" w:hAnsiTheme="minorEastAsia"/>
                <w:szCs w:val="21"/>
              </w:rPr>
              <w:t>U段一拖四会议无线手持话筒设备</w:t>
            </w:r>
          </w:p>
        </w:tc>
        <w:tc>
          <w:tcPr>
            <w:tcW w:w="233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1" w:type="dxa"/>
            <w:vAlign w:val="center"/>
          </w:tcPr>
          <w:p>
            <w:pPr>
              <w:numPr>
                <w:ilvl w:val="0"/>
                <w:numId w:val="2"/>
              </w:numPr>
              <w:jc w:val="center"/>
              <w:rPr>
                <w:rFonts w:cs="Times New Roman" w:asciiTheme="minorEastAsia" w:hAnsiTheme="minorEastAsia"/>
                <w:szCs w:val="21"/>
              </w:rPr>
            </w:pPr>
          </w:p>
        </w:tc>
        <w:tc>
          <w:tcPr>
            <w:tcW w:w="5413" w:type="dxa"/>
            <w:vAlign w:val="center"/>
          </w:tcPr>
          <w:p>
            <w:pPr>
              <w:rPr>
                <w:rFonts w:cs="Times New Roman" w:asciiTheme="minorEastAsia" w:hAnsiTheme="minorEastAsia"/>
                <w:szCs w:val="21"/>
              </w:rPr>
            </w:pPr>
            <w:r>
              <w:rPr>
                <w:rFonts w:hint="eastAsia" w:cs="Times New Roman" w:asciiTheme="minorEastAsia" w:hAnsiTheme="minorEastAsia"/>
                <w:szCs w:val="21"/>
              </w:rPr>
              <w:t>音箱设备</w:t>
            </w:r>
          </w:p>
        </w:tc>
        <w:tc>
          <w:tcPr>
            <w:tcW w:w="233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1" w:type="dxa"/>
            <w:vAlign w:val="center"/>
          </w:tcPr>
          <w:p>
            <w:pPr>
              <w:numPr>
                <w:ilvl w:val="0"/>
                <w:numId w:val="2"/>
              </w:numPr>
              <w:jc w:val="center"/>
              <w:rPr>
                <w:rFonts w:cs="Times New Roman" w:asciiTheme="minorEastAsia" w:hAnsiTheme="minorEastAsia"/>
                <w:szCs w:val="21"/>
              </w:rPr>
            </w:pPr>
          </w:p>
        </w:tc>
        <w:tc>
          <w:tcPr>
            <w:tcW w:w="5413" w:type="dxa"/>
            <w:vAlign w:val="center"/>
          </w:tcPr>
          <w:p>
            <w:pPr>
              <w:rPr>
                <w:rFonts w:cs="Times New Roman" w:asciiTheme="minorEastAsia" w:hAnsiTheme="minorEastAsia"/>
                <w:szCs w:val="21"/>
              </w:rPr>
            </w:pPr>
            <w:r>
              <w:rPr>
                <w:rFonts w:hint="eastAsia" w:cs="Times New Roman" w:asciiTheme="minorEastAsia" w:hAnsiTheme="minorEastAsia"/>
                <w:szCs w:val="21"/>
              </w:rPr>
              <w:t>投影仪</w:t>
            </w:r>
          </w:p>
        </w:tc>
        <w:tc>
          <w:tcPr>
            <w:tcW w:w="233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1" w:type="dxa"/>
            <w:vAlign w:val="center"/>
          </w:tcPr>
          <w:p>
            <w:pPr>
              <w:numPr>
                <w:ilvl w:val="0"/>
                <w:numId w:val="2"/>
              </w:numPr>
              <w:jc w:val="center"/>
              <w:rPr>
                <w:rFonts w:cs="Times New Roman" w:asciiTheme="minorEastAsia" w:hAnsiTheme="minorEastAsia"/>
                <w:szCs w:val="21"/>
              </w:rPr>
            </w:pPr>
          </w:p>
        </w:tc>
        <w:tc>
          <w:tcPr>
            <w:tcW w:w="5413" w:type="dxa"/>
            <w:vAlign w:val="center"/>
          </w:tcPr>
          <w:p>
            <w:pPr>
              <w:rPr>
                <w:rFonts w:cs="Times New Roman" w:asciiTheme="minorEastAsia" w:hAnsiTheme="minorEastAsia"/>
                <w:szCs w:val="21"/>
              </w:rPr>
            </w:pPr>
            <w:r>
              <w:rPr>
                <w:rFonts w:hint="eastAsia" w:cs="Times New Roman" w:asciiTheme="minorEastAsia" w:hAnsiTheme="minorEastAsia"/>
                <w:szCs w:val="21"/>
              </w:rPr>
              <w:t>电动投影幕布</w:t>
            </w:r>
          </w:p>
        </w:tc>
        <w:tc>
          <w:tcPr>
            <w:tcW w:w="233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1" w:type="dxa"/>
            <w:vAlign w:val="center"/>
          </w:tcPr>
          <w:p>
            <w:pPr>
              <w:numPr>
                <w:ilvl w:val="0"/>
                <w:numId w:val="2"/>
              </w:numPr>
              <w:jc w:val="center"/>
              <w:rPr>
                <w:rFonts w:cs="Times New Roman" w:asciiTheme="minorEastAsia" w:hAnsiTheme="minorEastAsia"/>
                <w:szCs w:val="21"/>
              </w:rPr>
            </w:pPr>
          </w:p>
        </w:tc>
        <w:tc>
          <w:tcPr>
            <w:tcW w:w="5413" w:type="dxa"/>
            <w:vAlign w:val="center"/>
          </w:tcPr>
          <w:p>
            <w:pPr>
              <w:rPr>
                <w:rFonts w:cs="Times New Roman" w:asciiTheme="minorEastAsia" w:hAnsiTheme="minorEastAsia"/>
                <w:szCs w:val="21"/>
              </w:rPr>
            </w:pPr>
            <w:r>
              <w:rPr>
                <w:rFonts w:cs="Times New Roman" w:asciiTheme="minorEastAsia" w:hAnsiTheme="minorEastAsia"/>
                <w:szCs w:val="21"/>
              </w:rPr>
              <w:t>65英寸会议平板电视</w:t>
            </w:r>
          </w:p>
        </w:tc>
        <w:tc>
          <w:tcPr>
            <w:tcW w:w="233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1" w:type="dxa"/>
            <w:vAlign w:val="center"/>
          </w:tcPr>
          <w:p>
            <w:pPr>
              <w:numPr>
                <w:ilvl w:val="0"/>
                <w:numId w:val="2"/>
              </w:numPr>
              <w:jc w:val="center"/>
              <w:rPr>
                <w:rFonts w:cs="Times New Roman" w:asciiTheme="minorEastAsia" w:hAnsiTheme="minorEastAsia"/>
                <w:szCs w:val="21"/>
              </w:rPr>
            </w:pPr>
          </w:p>
        </w:tc>
        <w:tc>
          <w:tcPr>
            <w:tcW w:w="5413" w:type="dxa"/>
            <w:vAlign w:val="center"/>
          </w:tcPr>
          <w:p>
            <w:pPr>
              <w:rPr>
                <w:rFonts w:cs="Times New Roman" w:asciiTheme="minorEastAsia" w:hAnsiTheme="minorEastAsia"/>
                <w:szCs w:val="21"/>
              </w:rPr>
            </w:pPr>
            <w:r>
              <w:rPr>
                <w:rFonts w:hint="eastAsia" w:cs="Times New Roman" w:asciiTheme="minorEastAsia" w:hAnsiTheme="minorEastAsia"/>
                <w:szCs w:val="21"/>
              </w:rPr>
              <w:t>台式电脑</w:t>
            </w:r>
          </w:p>
        </w:tc>
        <w:tc>
          <w:tcPr>
            <w:tcW w:w="233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1" w:type="dxa"/>
            <w:vAlign w:val="center"/>
          </w:tcPr>
          <w:p>
            <w:pPr>
              <w:numPr>
                <w:ilvl w:val="0"/>
                <w:numId w:val="2"/>
              </w:numPr>
              <w:jc w:val="center"/>
              <w:rPr>
                <w:rFonts w:cs="Times New Roman" w:asciiTheme="minorEastAsia" w:hAnsiTheme="minorEastAsia"/>
                <w:szCs w:val="21"/>
              </w:rPr>
            </w:pPr>
          </w:p>
        </w:tc>
        <w:tc>
          <w:tcPr>
            <w:tcW w:w="5413" w:type="dxa"/>
            <w:vAlign w:val="center"/>
          </w:tcPr>
          <w:p>
            <w:pPr>
              <w:rPr>
                <w:rFonts w:cs="Times New Roman" w:asciiTheme="minorEastAsia" w:hAnsiTheme="minorEastAsia"/>
                <w:szCs w:val="21"/>
              </w:rPr>
            </w:pPr>
            <w:r>
              <w:rPr>
                <w:rFonts w:hint="eastAsia" w:cs="Times New Roman" w:asciiTheme="minorEastAsia" w:hAnsiTheme="minorEastAsia"/>
                <w:szCs w:val="21"/>
              </w:rPr>
              <w:t>笔记本电脑</w:t>
            </w:r>
          </w:p>
        </w:tc>
        <w:tc>
          <w:tcPr>
            <w:tcW w:w="233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6台</w:t>
            </w:r>
          </w:p>
        </w:tc>
      </w:tr>
    </w:tbl>
    <w:p>
      <w:pPr>
        <w:rPr>
          <w:rFonts w:ascii="黑体" w:eastAsia="黑体"/>
          <w:szCs w:val="21"/>
        </w:rPr>
      </w:pPr>
      <w:r>
        <w:rPr>
          <w:rFonts w:hint="eastAsia" w:ascii="黑体" w:eastAsia="黑体"/>
          <w:szCs w:val="21"/>
        </w:rPr>
        <w:t>二、项目总体要求</w:t>
      </w:r>
    </w:p>
    <w:tbl>
      <w:tblPr>
        <w:tblStyle w:val="19"/>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序号</w:t>
            </w:r>
          </w:p>
        </w:tc>
        <w:tc>
          <w:tcPr>
            <w:tcW w:w="1843" w:type="dxa"/>
            <w:tcBorders>
              <w:lef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要求</w:t>
            </w:r>
          </w:p>
        </w:tc>
        <w:tc>
          <w:tcPr>
            <w:tcW w:w="6237" w:type="dxa"/>
            <w:vAlign w:val="bottom"/>
          </w:tcPr>
          <w:p>
            <w:pPr>
              <w:jc w:val="left"/>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1</w:t>
            </w:r>
          </w:p>
        </w:tc>
        <w:tc>
          <w:tcPr>
            <w:tcW w:w="1843" w:type="dxa"/>
            <w:tcBorders>
              <w:lef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现场勘察</w:t>
            </w:r>
          </w:p>
        </w:tc>
        <w:tc>
          <w:tcPr>
            <w:tcW w:w="6237" w:type="dxa"/>
            <w:vAlign w:val="bottom"/>
          </w:tcPr>
          <w:p>
            <w:pPr>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投标人自行踏勘现场，充分了解项目情况。投标人现场踏勘所发生的费用自行承担。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2</w:t>
            </w:r>
          </w:p>
        </w:tc>
        <w:tc>
          <w:tcPr>
            <w:tcW w:w="1843" w:type="dxa"/>
            <w:tcBorders>
              <w:lef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工期</w:t>
            </w:r>
          </w:p>
        </w:tc>
        <w:tc>
          <w:tcPr>
            <w:tcW w:w="6237" w:type="dxa"/>
            <w:vAlign w:val="bottom"/>
          </w:tcPr>
          <w:p>
            <w:pPr>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签订合同后</w:t>
            </w:r>
            <w:r>
              <w:rPr>
                <w:rFonts w:hint="eastAsia" w:ascii="Times New Roman" w:hAnsi="Times New Roman" w:eastAsia="宋体" w:cs="Times New Roman"/>
                <w:kern w:val="0"/>
                <w:sz w:val="21"/>
                <w:szCs w:val="21"/>
                <w:u w:val="single"/>
              </w:rPr>
              <w:t>60</w:t>
            </w:r>
            <w:r>
              <w:rPr>
                <w:rFonts w:hint="eastAsia" w:ascii="Times New Roman" w:hAnsi="Times New Roman" w:eastAsia="宋体" w:cs="Times New Roman"/>
                <w:kern w:val="0"/>
                <w:sz w:val="21"/>
                <w:szCs w:val="21"/>
              </w:rPr>
              <w:t>日内完成。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3</w:t>
            </w:r>
          </w:p>
        </w:tc>
        <w:tc>
          <w:tcPr>
            <w:tcW w:w="1843" w:type="dxa"/>
            <w:tcBorders>
              <w:lef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售后服务</w:t>
            </w:r>
          </w:p>
        </w:tc>
        <w:tc>
          <w:tcPr>
            <w:tcW w:w="6237" w:type="dxa"/>
            <w:vAlign w:val="bottom"/>
          </w:tcPr>
          <w:p>
            <w:pPr>
              <w:widowControl/>
              <w:numPr>
                <w:ilvl w:val="0"/>
                <w:numId w:val="3"/>
              </w:numPr>
              <w:topLinePunct/>
              <w:autoSpaceDE w:val="0"/>
              <w:adjustRightInd w:val="0"/>
              <w:spacing w:line="360" w:lineRule="auto"/>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所有软、硬件提供3年以上原厂免费售后及升级服务；</w:t>
            </w:r>
          </w:p>
          <w:p>
            <w:pPr>
              <w:widowControl/>
              <w:numPr>
                <w:ilvl w:val="0"/>
                <w:numId w:val="3"/>
              </w:numPr>
              <w:topLinePunct/>
              <w:autoSpaceDE w:val="0"/>
              <w:adjustRightInd w:val="0"/>
              <w:spacing w:line="360" w:lineRule="auto"/>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故障响应：7*24小时，出现故障后到达现场时间≦2小时（本地），到达现场时间≦6小时（外地）；</w:t>
            </w:r>
          </w:p>
          <w:p>
            <w:pPr>
              <w:widowControl/>
              <w:numPr>
                <w:ilvl w:val="0"/>
                <w:numId w:val="3"/>
              </w:numPr>
              <w:topLinePunct/>
              <w:autoSpaceDE w:val="0"/>
              <w:adjustRightInd w:val="0"/>
              <w:spacing w:line="360" w:lineRule="auto"/>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对全体使用人员进行培训直至熟练掌握；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4</w:t>
            </w:r>
          </w:p>
        </w:tc>
        <w:tc>
          <w:tcPr>
            <w:tcW w:w="1843" w:type="dxa"/>
            <w:tcBorders>
              <w:lef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Arial" w:hAnsi="Arial" w:eastAsia="宋体" w:cs="Times New Roman"/>
                <w:color w:val="000000"/>
                <w:kern w:val="0"/>
                <w:sz w:val="21"/>
                <w:szCs w:val="21"/>
              </w:rPr>
              <w:t>资质要求</w:t>
            </w:r>
          </w:p>
        </w:tc>
        <w:tc>
          <w:tcPr>
            <w:tcW w:w="6237" w:type="dxa"/>
            <w:vAlign w:val="bottom"/>
          </w:tcPr>
          <w:p>
            <w:pPr>
              <w:widowControl/>
              <w:numPr>
                <w:ilvl w:val="0"/>
                <w:numId w:val="4"/>
              </w:numPr>
              <w:topLinePunct/>
              <w:autoSpaceDE w:val="0"/>
              <w:adjustRightInd w:val="0"/>
              <w:spacing w:line="360" w:lineRule="auto"/>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本项目中硬件及软件的基础产品采用国产知名品牌；</w:t>
            </w:r>
          </w:p>
          <w:p>
            <w:pPr>
              <w:widowControl/>
              <w:numPr>
                <w:ilvl w:val="0"/>
                <w:numId w:val="4"/>
              </w:numPr>
              <w:topLinePunct/>
              <w:autoSpaceDE w:val="0"/>
              <w:adjustRightInd w:val="0"/>
              <w:spacing w:line="360" w:lineRule="auto"/>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部分所投产品（65英寸会议平板电视、投影仪）均需厂家提供售后服务承诺函，加盖公章确认。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bidi="ne-NP"/>
              </w:rPr>
            </w:pPr>
            <w:r>
              <w:rPr>
                <w:rFonts w:hint="eastAsia" w:ascii="Times New Roman" w:hAnsi="Times New Roman" w:eastAsia="宋体" w:cs="Times New Roman"/>
                <w:kern w:val="0"/>
                <w:sz w:val="21"/>
                <w:szCs w:val="21"/>
                <w:lang w:val="es-AR" w:bidi="ne-NP"/>
              </w:rPr>
              <w:t>5</w:t>
            </w:r>
          </w:p>
        </w:tc>
        <w:tc>
          <w:tcPr>
            <w:tcW w:w="1843" w:type="dxa"/>
            <w:tcBorders>
              <w:left w:val="single" w:color="auto" w:sz="4" w:space="0"/>
            </w:tcBorders>
            <w:vAlign w:val="center"/>
          </w:tcPr>
          <w:p>
            <w:pPr>
              <w:jc w:val="center"/>
              <w:rPr>
                <w:rFonts w:ascii="Arial" w:hAnsi="Arial" w:eastAsia="宋体" w:cs="Times New Roman"/>
                <w:color w:val="000000"/>
                <w:kern w:val="0"/>
                <w:sz w:val="21"/>
                <w:szCs w:val="21"/>
              </w:rPr>
            </w:pPr>
            <w:r>
              <w:rPr>
                <w:rFonts w:hint="eastAsia" w:ascii="Arial" w:hAnsi="Arial" w:eastAsia="宋体" w:cs="Times New Roman"/>
                <w:color w:val="000000"/>
                <w:kern w:val="0"/>
                <w:sz w:val="21"/>
                <w:szCs w:val="21"/>
              </w:rPr>
              <w:t>其他</w:t>
            </w:r>
          </w:p>
        </w:tc>
        <w:tc>
          <w:tcPr>
            <w:tcW w:w="6237" w:type="dxa"/>
            <w:vAlign w:val="bottom"/>
          </w:tcPr>
          <w:p>
            <w:pPr>
              <w:ind w:left="400"/>
              <w:jc w:val="lef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所有硬件安装、调试，涉及线缆、线路敷设需严格按国家规范要求实施，费用由投标单位自行承担；</w:t>
            </w:r>
          </w:p>
        </w:tc>
      </w:tr>
    </w:tbl>
    <w:p>
      <w:pPr>
        <w:jc w:val="left"/>
        <w:rPr>
          <w:rFonts w:ascii="黑体" w:eastAsia="黑体"/>
          <w:szCs w:val="21"/>
        </w:rPr>
      </w:pPr>
      <w:r>
        <w:rPr>
          <w:rFonts w:hint="eastAsia" w:ascii="黑体" w:eastAsia="黑体"/>
          <w:szCs w:val="21"/>
        </w:rPr>
        <w:t>三、硬件参数</w:t>
      </w:r>
    </w:p>
    <w:tbl>
      <w:tblPr>
        <w:tblStyle w:val="19"/>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048"/>
        <w:gridCol w:w="5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center"/>
              <w:rPr>
                <w:rFonts w:ascii="Times New Roman" w:hAnsi="Times New Roman" w:eastAsia="宋体" w:cs="Times New Roman"/>
                <w:b/>
                <w:bCs/>
                <w:color w:val="000000" w:themeColor="text1"/>
                <w:kern w:val="0"/>
                <w:sz w:val="21"/>
                <w:szCs w:val="21"/>
                <w:lang w:bidi="ne-NP"/>
              </w:rPr>
            </w:pPr>
            <w:r>
              <w:rPr>
                <w:rFonts w:hint="eastAsia" w:ascii="Times New Roman" w:hAnsi="Times New Roman" w:eastAsia="宋体" w:cs="Times New Roman"/>
                <w:b/>
                <w:bCs/>
                <w:color w:val="000000" w:themeColor="text1"/>
                <w:kern w:val="0"/>
                <w:sz w:val="21"/>
                <w:szCs w:val="21"/>
                <w:lang w:bidi="ne-NP"/>
              </w:rPr>
              <w:t>序号</w:t>
            </w:r>
          </w:p>
        </w:tc>
        <w:tc>
          <w:tcPr>
            <w:tcW w:w="2048" w:type="dxa"/>
          </w:tcPr>
          <w:p>
            <w:pPr>
              <w:jc w:val="center"/>
              <w:rPr>
                <w:rFonts w:ascii="Times New Roman" w:hAnsi="Times New Roman" w:eastAsia="宋体" w:cs="Times New Roman"/>
                <w:b/>
                <w:bCs/>
                <w:color w:val="000000" w:themeColor="text1"/>
                <w:kern w:val="0"/>
                <w:sz w:val="21"/>
                <w:szCs w:val="21"/>
                <w:lang w:bidi="ne-NP"/>
              </w:rPr>
            </w:pPr>
            <w:r>
              <w:rPr>
                <w:rFonts w:hint="eastAsia" w:ascii="Times New Roman" w:hAnsi="Times New Roman" w:eastAsia="宋体" w:cs="Times New Roman"/>
                <w:b/>
                <w:bCs/>
                <w:color w:val="000000" w:themeColor="text1"/>
                <w:kern w:val="0"/>
                <w:sz w:val="21"/>
                <w:szCs w:val="21"/>
                <w:lang w:bidi="ne-NP"/>
              </w:rPr>
              <w:t>硬件名称</w:t>
            </w:r>
          </w:p>
        </w:tc>
        <w:tc>
          <w:tcPr>
            <w:tcW w:w="5890" w:type="dxa"/>
          </w:tcPr>
          <w:p>
            <w:pPr>
              <w:jc w:val="center"/>
              <w:rPr>
                <w:rFonts w:ascii="Times New Roman" w:hAnsi="Times New Roman" w:eastAsia="宋体" w:cs="Times New Roman"/>
                <w:b/>
                <w:bCs/>
                <w:color w:val="000000" w:themeColor="text1"/>
                <w:kern w:val="0"/>
                <w:sz w:val="21"/>
                <w:szCs w:val="21"/>
                <w:lang w:bidi="ne-NP"/>
              </w:rPr>
            </w:pPr>
            <w:r>
              <w:rPr>
                <w:rFonts w:hint="eastAsia" w:ascii="Times New Roman" w:hAnsi="Times New Roman" w:eastAsia="宋体" w:cs="Times New Roman"/>
                <w:b/>
                <w:bCs/>
                <w:color w:val="000000" w:themeColor="text1"/>
                <w:kern w:val="0"/>
                <w:sz w:val="21"/>
                <w:szCs w:val="21"/>
                <w:lang w:bidi="ne-NP"/>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left"/>
              <w:rPr>
                <w:rFonts w:eastAsia="宋体" w:cs="Times New Roman" w:asciiTheme="minorEastAsia" w:hAnsiTheme="minorEastAsia"/>
                <w:color w:val="000000" w:themeColor="text1"/>
                <w:kern w:val="0"/>
                <w:sz w:val="21"/>
                <w:szCs w:val="21"/>
                <w:lang w:val="es-AR" w:bidi="ne-NP"/>
              </w:rPr>
            </w:pPr>
            <w:r>
              <w:rPr>
                <w:rFonts w:hint="eastAsia" w:eastAsia="宋体" w:cs="Times New Roman" w:asciiTheme="minorEastAsia" w:hAnsiTheme="minorEastAsia"/>
                <w:color w:val="000000" w:themeColor="text1"/>
                <w:kern w:val="0"/>
                <w:sz w:val="21"/>
                <w:szCs w:val="21"/>
                <w:lang w:val="es-AR" w:bidi="ne-NP"/>
              </w:rPr>
              <w:t>1</w:t>
            </w:r>
          </w:p>
          <w:p>
            <w:pPr>
              <w:ind w:firstLine="201" w:firstLineChars="100"/>
              <w:jc w:val="left"/>
              <w:rPr>
                <w:rFonts w:eastAsia="宋体" w:cs="Times New Roman" w:asciiTheme="minorEastAsia" w:hAnsiTheme="minorEastAsia"/>
                <w:color w:val="000000" w:themeColor="text1"/>
                <w:kern w:val="0"/>
                <w:sz w:val="21"/>
                <w:szCs w:val="21"/>
                <w:lang w:val="es-AR" w:bidi="ne-NP"/>
              </w:rPr>
            </w:pPr>
          </w:p>
        </w:tc>
        <w:tc>
          <w:tcPr>
            <w:tcW w:w="2048" w:type="dxa"/>
            <w:vAlign w:val="center"/>
          </w:tcPr>
          <w:p>
            <w:pPr>
              <w:jc w:val="left"/>
              <w:rPr>
                <w:rFonts w:eastAsia="宋体" w:cs="Times New Roman" w:asciiTheme="minorEastAsia" w:hAnsiTheme="minorEastAsia"/>
                <w:color w:val="000000" w:themeColor="text1"/>
                <w:kern w:val="0"/>
                <w:sz w:val="21"/>
                <w:szCs w:val="21"/>
              </w:rPr>
            </w:pPr>
            <w:r>
              <w:rPr>
                <w:rFonts w:hint="eastAsia" w:eastAsia="宋体" w:cs="Times New Roman" w:asciiTheme="minorEastAsia" w:hAnsiTheme="minorEastAsia"/>
                <w:color w:val="000000" w:themeColor="text1"/>
                <w:kern w:val="0"/>
                <w:sz w:val="21"/>
                <w:szCs w:val="21"/>
              </w:rPr>
              <w:t>后级功放</w:t>
            </w:r>
          </w:p>
        </w:tc>
        <w:tc>
          <w:tcPr>
            <w:tcW w:w="5890" w:type="dxa"/>
          </w:tcPr>
          <w:p>
            <w:pPr>
              <w:pStyle w:val="52"/>
              <w:numPr>
                <w:ilvl w:val="0"/>
                <w:numId w:val="5"/>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两声道功放有三档输入灵敏度选择，支持（</w:t>
            </w:r>
            <w:r>
              <w:rPr>
                <w:rFonts w:asciiTheme="minorEastAsia" w:hAnsiTheme="minorEastAsia" w:eastAsiaTheme="minorEastAsia"/>
                <w:color w:val="000000" w:themeColor="text1"/>
                <w:sz w:val="21"/>
                <w:szCs w:val="21"/>
              </w:rPr>
              <w:t>0.775V/1V/1.44V</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，可轻松接纳宽幅度范围信号源输入</w:t>
            </w:r>
            <w:r>
              <w:rPr>
                <w:rFonts w:hint="eastAsia" w:asciiTheme="minorEastAsia" w:hAnsiTheme="minorEastAsia" w:eastAsiaTheme="minorEastAsia"/>
                <w:color w:val="000000" w:themeColor="text1"/>
                <w:sz w:val="21"/>
                <w:szCs w:val="21"/>
              </w:rPr>
              <w:t>；</w:t>
            </w:r>
          </w:p>
          <w:p>
            <w:pPr>
              <w:pStyle w:val="52"/>
              <w:numPr>
                <w:ilvl w:val="0"/>
                <w:numId w:val="5"/>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信噪比</w:t>
            </w:r>
            <w:r>
              <w:rPr>
                <w:rFonts w:hint="eastAsia" w:asciiTheme="minorEastAsia" w:hAnsiTheme="minorEastAsia" w:eastAsiaTheme="minorEastAsia"/>
                <w:color w:val="000000" w:themeColor="text1"/>
                <w:sz w:val="21"/>
                <w:szCs w:val="21"/>
              </w:rPr>
              <w:t>≧90</w:t>
            </w:r>
            <w:r>
              <w:rPr>
                <w:rFonts w:asciiTheme="minorEastAsia" w:hAnsiTheme="minorEastAsia" w:eastAsiaTheme="minorEastAsia"/>
                <w:color w:val="000000" w:themeColor="text1"/>
                <w:sz w:val="21"/>
                <w:szCs w:val="21"/>
              </w:rPr>
              <w:t>dB；</w:t>
            </w:r>
          </w:p>
          <w:p>
            <w:pPr>
              <w:pStyle w:val="52"/>
              <w:numPr>
                <w:ilvl w:val="0"/>
                <w:numId w:val="5"/>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频率响应：</w:t>
            </w:r>
            <w:r>
              <w:rPr>
                <w:rFonts w:hint="eastAsia" w:asciiTheme="minorEastAsia" w:hAnsiTheme="minorEastAsia" w:eastAsiaTheme="minorEastAsia"/>
                <w:color w:val="000000" w:themeColor="text1"/>
                <w:sz w:val="21"/>
                <w:szCs w:val="21"/>
              </w:rPr>
              <w:t>20</w:t>
            </w:r>
            <w:r>
              <w:rPr>
                <w:rFonts w:asciiTheme="minorEastAsia" w:hAnsiTheme="minorEastAsia" w:eastAsiaTheme="minorEastAsia"/>
                <w:color w:val="000000" w:themeColor="text1"/>
                <w:sz w:val="21"/>
                <w:szCs w:val="21"/>
              </w:rPr>
              <w:t>HZ</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20khz（0-2DB）；</w:t>
            </w:r>
            <w:r>
              <w:rPr>
                <w:rFonts w:hint="eastAsia" w:asciiTheme="minorEastAsia" w:hAnsiTheme="minorEastAsia" w:eastAsiaTheme="minorEastAsia"/>
                <w:color w:val="000000" w:themeColor="text1"/>
                <w:sz w:val="21"/>
                <w:szCs w:val="21"/>
              </w:rPr>
              <w:t>分离度≥</w:t>
            </w:r>
            <w:r>
              <w:rPr>
                <w:rFonts w:asciiTheme="minorEastAsia" w:hAnsiTheme="minorEastAsia" w:eastAsiaTheme="minorEastAsia"/>
                <w:color w:val="000000" w:themeColor="text1"/>
                <w:sz w:val="21"/>
                <w:szCs w:val="21"/>
              </w:rPr>
              <w:t>80dB、失真度≤0.05%</w:t>
            </w:r>
            <w:r>
              <w:rPr>
                <w:rFonts w:hint="eastAsia" w:asciiTheme="minorEastAsia" w:hAnsiTheme="minorEastAsia" w:eastAsiaTheme="minorEastAsia"/>
                <w:color w:val="000000" w:themeColor="text1"/>
                <w:sz w:val="21"/>
                <w:szCs w:val="21"/>
              </w:rPr>
              <w:t>；</w:t>
            </w:r>
          </w:p>
          <w:p>
            <w:pPr>
              <w:pStyle w:val="52"/>
              <w:numPr>
                <w:ilvl w:val="0"/>
                <w:numId w:val="5"/>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功放类型：D类；</w:t>
            </w:r>
          </w:p>
          <w:p>
            <w:pPr>
              <w:pStyle w:val="52"/>
              <w:numPr>
                <w:ilvl w:val="0"/>
                <w:numId w:val="5"/>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保护：</w:t>
            </w:r>
            <w:r>
              <w:rPr>
                <w:rFonts w:hint="eastAsia" w:asciiTheme="minorEastAsia" w:hAnsiTheme="minorEastAsia" w:eastAsiaTheme="minorEastAsia"/>
                <w:color w:val="000000" w:themeColor="text1"/>
                <w:sz w:val="21"/>
                <w:szCs w:val="21"/>
              </w:rPr>
              <w:t>具有安全保护措施和工作状态指示（短路、过载、直流和过热保护，变压器过热保护）；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ind w:firstLine="201" w:firstLineChars="100"/>
              <w:jc w:val="left"/>
              <w:rPr>
                <w:rFonts w:eastAsia="宋体" w:cs="Times New Roman" w:asciiTheme="minorEastAsia" w:hAnsiTheme="minorEastAsia"/>
                <w:color w:val="000000" w:themeColor="text1"/>
                <w:kern w:val="0"/>
                <w:sz w:val="21"/>
                <w:szCs w:val="21"/>
                <w:lang w:val="es-AR" w:bidi="ne-NP"/>
              </w:rPr>
            </w:pPr>
          </w:p>
          <w:p>
            <w:pPr>
              <w:ind w:firstLine="201" w:firstLineChars="100"/>
              <w:jc w:val="left"/>
              <w:rPr>
                <w:rFonts w:eastAsia="宋体" w:cs="Times New Roman" w:asciiTheme="minorEastAsia" w:hAnsiTheme="minorEastAsia"/>
                <w:color w:val="000000" w:themeColor="text1"/>
                <w:kern w:val="0"/>
                <w:sz w:val="21"/>
                <w:szCs w:val="21"/>
                <w:lang w:val="es-AR" w:bidi="ne-NP"/>
              </w:rPr>
            </w:pPr>
            <w:r>
              <w:rPr>
                <w:rFonts w:hint="eastAsia" w:eastAsia="宋体" w:cs="Times New Roman" w:asciiTheme="minorEastAsia" w:hAnsiTheme="minorEastAsia"/>
                <w:color w:val="000000" w:themeColor="text1"/>
                <w:kern w:val="0"/>
                <w:sz w:val="21"/>
                <w:szCs w:val="21"/>
                <w:lang w:val="es-AR" w:bidi="ne-NP"/>
              </w:rPr>
              <w:t>2</w:t>
            </w:r>
          </w:p>
        </w:tc>
        <w:tc>
          <w:tcPr>
            <w:tcW w:w="2048" w:type="dxa"/>
            <w:vAlign w:val="center"/>
          </w:tcPr>
          <w:p>
            <w:pPr>
              <w:jc w:val="left"/>
              <w:rPr>
                <w:rFonts w:eastAsia="宋体" w:cs="Times New Roman" w:asciiTheme="minorEastAsia" w:hAnsiTheme="minorEastAsia"/>
                <w:color w:val="000000" w:themeColor="text1"/>
                <w:kern w:val="0"/>
                <w:sz w:val="21"/>
                <w:szCs w:val="21"/>
              </w:rPr>
            </w:pPr>
          </w:p>
          <w:p>
            <w:pPr>
              <w:jc w:val="left"/>
              <w:rPr>
                <w:rFonts w:eastAsia="宋体" w:cs="Times New Roman" w:asciiTheme="minorEastAsia" w:hAnsiTheme="minorEastAsia"/>
                <w:color w:val="000000" w:themeColor="text1"/>
                <w:kern w:val="0"/>
                <w:sz w:val="21"/>
                <w:szCs w:val="21"/>
              </w:rPr>
            </w:pPr>
            <w:r>
              <w:rPr>
                <w:rFonts w:hint="eastAsia" w:eastAsia="宋体" w:cs="Times New Roman" w:asciiTheme="minorEastAsia" w:hAnsiTheme="minorEastAsia"/>
                <w:color w:val="000000" w:themeColor="text1"/>
                <w:kern w:val="0"/>
                <w:sz w:val="21"/>
                <w:szCs w:val="21"/>
              </w:rPr>
              <w:t>专业</w:t>
            </w:r>
            <w:r>
              <w:rPr>
                <w:rFonts w:eastAsia="宋体" w:cs="Times New Roman" w:asciiTheme="minorEastAsia" w:hAnsiTheme="minorEastAsia"/>
                <w:color w:val="000000" w:themeColor="text1"/>
                <w:kern w:val="0"/>
                <w:sz w:val="21"/>
                <w:szCs w:val="21"/>
              </w:rPr>
              <w:t>U段一拖四会议无线手持话筒设备</w:t>
            </w:r>
          </w:p>
        </w:tc>
        <w:tc>
          <w:tcPr>
            <w:tcW w:w="5890" w:type="dxa"/>
          </w:tcPr>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具备</w:t>
            </w:r>
            <w:r>
              <w:rPr>
                <w:rFonts w:asciiTheme="minorEastAsia" w:hAnsiTheme="minorEastAsia" w:eastAsiaTheme="minorEastAsia"/>
                <w:color w:val="000000" w:themeColor="text1"/>
                <w:sz w:val="21"/>
                <w:szCs w:val="21"/>
              </w:rPr>
              <w:t>红外对频功能</w:t>
            </w:r>
            <w:r>
              <w:rPr>
                <w:rFonts w:hint="eastAsia" w:asciiTheme="minorEastAsia" w:hAnsiTheme="minorEastAsia" w:eastAsiaTheme="minorEastAsia"/>
                <w:color w:val="000000" w:themeColor="text1"/>
                <w:sz w:val="21"/>
                <w:szCs w:val="21"/>
              </w:rPr>
              <w:t>；</w:t>
            </w:r>
          </w:p>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频率范围: 740-790MHz</w:t>
            </w:r>
            <w:r>
              <w:rPr>
                <w:rFonts w:hint="eastAsia" w:asciiTheme="minorEastAsia" w:hAnsiTheme="minorEastAsia" w:eastAsiaTheme="minorEastAsia"/>
                <w:color w:val="000000" w:themeColor="text1"/>
                <w:sz w:val="21"/>
                <w:szCs w:val="21"/>
              </w:rPr>
              <w:t>；</w:t>
            </w:r>
          </w:p>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调制方式: FM</w:t>
            </w:r>
            <w:r>
              <w:rPr>
                <w:rFonts w:hint="eastAsia" w:asciiTheme="minorEastAsia" w:hAnsiTheme="minorEastAsia" w:eastAsiaTheme="minorEastAsia"/>
                <w:color w:val="000000" w:themeColor="text1"/>
                <w:sz w:val="21"/>
                <w:szCs w:val="21"/>
              </w:rPr>
              <w:t>；</w:t>
            </w:r>
          </w:p>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频率稳定度:±0.005%</w:t>
            </w:r>
            <w:r>
              <w:rPr>
                <w:rFonts w:hint="eastAsia" w:asciiTheme="minorEastAsia" w:hAnsiTheme="minorEastAsia" w:eastAsiaTheme="minorEastAsia"/>
                <w:color w:val="000000" w:themeColor="text1"/>
                <w:sz w:val="21"/>
                <w:szCs w:val="21"/>
              </w:rPr>
              <w:t>；；</w:t>
            </w:r>
          </w:p>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音频响应: 80Hz-18KHz(±3dB)</w:t>
            </w:r>
            <w:r>
              <w:rPr>
                <w:rFonts w:hint="eastAsia" w:asciiTheme="minorEastAsia" w:hAnsiTheme="minorEastAsia" w:eastAsiaTheme="minorEastAsia"/>
                <w:color w:val="000000" w:themeColor="text1"/>
                <w:sz w:val="21"/>
                <w:szCs w:val="21"/>
              </w:rPr>
              <w:t>；</w:t>
            </w:r>
          </w:p>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综合信噪比:</w:t>
            </w:r>
            <w:r>
              <w:rPr>
                <w:rFonts w:hint="eastAsia" w:asciiTheme="minorEastAsia" w:hAnsiTheme="minorEastAsia" w:eastAsiaTheme="minorEastAsia"/>
                <w:color w:val="000000" w:themeColor="text1"/>
                <w:sz w:val="21"/>
                <w:szCs w:val="21"/>
              </w:rPr>
              <w:t>≧90</w:t>
            </w:r>
            <w:r>
              <w:rPr>
                <w:rFonts w:asciiTheme="minorEastAsia" w:hAnsiTheme="minorEastAsia" w:eastAsiaTheme="minorEastAsia"/>
                <w:color w:val="000000" w:themeColor="text1"/>
                <w:sz w:val="21"/>
                <w:szCs w:val="21"/>
              </w:rPr>
              <w:t>dB</w:t>
            </w:r>
            <w:r>
              <w:rPr>
                <w:rFonts w:hint="eastAsia" w:asciiTheme="minorEastAsia" w:hAnsiTheme="minorEastAsia" w:eastAsiaTheme="minorEastAsia"/>
                <w:color w:val="000000" w:themeColor="text1"/>
                <w:sz w:val="21"/>
                <w:szCs w:val="21"/>
              </w:rPr>
              <w:t>；</w:t>
            </w:r>
          </w:p>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综合失真:≤0.5%</w:t>
            </w:r>
            <w:r>
              <w:rPr>
                <w:rFonts w:hint="eastAsia" w:asciiTheme="minorEastAsia" w:hAnsiTheme="minorEastAsia" w:eastAsiaTheme="minorEastAsia"/>
                <w:color w:val="000000" w:themeColor="text1"/>
                <w:sz w:val="21"/>
                <w:szCs w:val="21"/>
              </w:rPr>
              <w:t>；</w:t>
            </w:r>
          </w:p>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无线接口</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BNC/50Ω</w:t>
            </w:r>
            <w:r>
              <w:rPr>
                <w:rFonts w:hint="eastAsia" w:asciiTheme="minorEastAsia" w:hAnsiTheme="minorEastAsia" w:eastAsiaTheme="minorEastAsia"/>
                <w:color w:val="000000" w:themeColor="text1"/>
                <w:sz w:val="21"/>
                <w:szCs w:val="21"/>
              </w:rPr>
              <w:t>；</w:t>
            </w:r>
          </w:p>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灵敏度：</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12dBμV（80DbS/N）</w:t>
            </w:r>
            <w:r>
              <w:rPr>
                <w:rFonts w:hint="eastAsia" w:asciiTheme="minorEastAsia" w:hAnsiTheme="minorEastAsia" w:eastAsiaTheme="minorEastAsia"/>
                <w:color w:val="000000" w:themeColor="text1"/>
                <w:sz w:val="21"/>
                <w:szCs w:val="21"/>
              </w:rPr>
              <w:t>；</w:t>
            </w:r>
          </w:p>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灵敏度调节范围：12-32 dBμV</w:t>
            </w:r>
            <w:r>
              <w:rPr>
                <w:rFonts w:hint="eastAsia" w:asciiTheme="minorEastAsia" w:hAnsiTheme="minorEastAsia" w:eastAsiaTheme="minorEastAsia"/>
                <w:color w:val="000000" w:themeColor="text1"/>
                <w:sz w:val="21"/>
                <w:szCs w:val="21"/>
              </w:rPr>
              <w:t>；</w:t>
            </w:r>
          </w:p>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输出功率：高功率30mW; 低功率3mW</w:t>
            </w:r>
            <w:r>
              <w:rPr>
                <w:rFonts w:hint="eastAsia" w:asciiTheme="minorEastAsia" w:hAnsiTheme="minorEastAsia" w:eastAsiaTheme="minorEastAsia"/>
                <w:color w:val="000000" w:themeColor="text1"/>
                <w:sz w:val="21"/>
                <w:szCs w:val="21"/>
              </w:rPr>
              <w:t>；</w:t>
            </w:r>
          </w:p>
          <w:p>
            <w:pPr>
              <w:pStyle w:val="52"/>
              <w:numPr>
                <w:ilvl w:val="0"/>
                <w:numId w:val="6"/>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无线程式：佩挂发射器采用1/4波长鞭状天线，手持麦克风内置螺旋天线</w:t>
            </w:r>
            <w:r>
              <w:rPr>
                <w:rFonts w:hint="eastAsia" w:asciiTheme="minorEastAsia" w:hAnsiTheme="minorEastAsia" w:eastAsiaTheme="minorEastAsia"/>
                <w:color w:val="000000" w:themeColor="text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59" w:type="dxa"/>
            <w:vAlign w:val="center"/>
          </w:tcPr>
          <w:p>
            <w:pPr>
              <w:jc w:val="left"/>
              <w:rPr>
                <w:rFonts w:eastAsia="宋体" w:cs="Times New Roman" w:asciiTheme="minorEastAsia" w:hAnsiTheme="minorEastAsia"/>
                <w:color w:val="000000" w:themeColor="text1"/>
                <w:kern w:val="0"/>
                <w:sz w:val="21"/>
                <w:szCs w:val="21"/>
                <w:lang w:bidi="ne-NP"/>
              </w:rPr>
            </w:pPr>
            <w:r>
              <w:rPr>
                <w:rFonts w:hint="eastAsia" w:eastAsia="宋体" w:cs="Times New Roman" w:asciiTheme="minorEastAsia" w:hAnsiTheme="minorEastAsia"/>
                <w:color w:val="000000" w:themeColor="text1"/>
                <w:kern w:val="0"/>
                <w:sz w:val="21"/>
                <w:szCs w:val="21"/>
                <w:lang w:bidi="ne-NP"/>
              </w:rPr>
              <w:t>3</w:t>
            </w:r>
          </w:p>
        </w:tc>
        <w:tc>
          <w:tcPr>
            <w:tcW w:w="2048" w:type="dxa"/>
            <w:vAlign w:val="center"/>
          </w:tcPr>
          <w:p>
            <w:pPr>
              <w:jc w:val="left"/>
              <w:rPr>
                <w:rFonts w:eastAsia="宋体" w:cs="Times New Roman" w:asciiTheme="minorEastAsia" w:hAnsiTheme="minorEastAsia"/>
                <w:color w:val="000000" w:themeColor="text1"/>
                <w:kern w:val="0"/>
                <w:sz w:val="21"/>
                <w:szCs w:val="21"/>
                <w:lang w:bidi="ne-NP"/>
              </w:rPr>
            </w:pPr>
            <w:r>
              <w:rPr>
                <w:rFonts w:hint="eastAsia" w:eastAsia="宋体" w:cs="Times New Roman" w:asciiTheme="minorEastAsia" w:hAnsiTheme="minorEastAsia"/>
                <w:color w:val="000000" w:themeColor="text1"/>
                <w:kern w:val="0"/>
                <w:sz w:val="21"/>
                <w:szCs w:val="21"/>
              </w:rPr>
              <w:t>音箱设备</w:t>
            </w:r>
          </w:p>
        </w:tc>
        <w:tc>
          <w:tcPr>
            <w:tcW w:w="5890" w:type="dxa"/>
          </w:tcPr>
          <w:p>
            <w:pPr>
              <w:pStyle w:val="52"/>
              <w:numPr>
                <w:ilvl w:val="0"/>
                <w:numId w:val="7"/>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单元： 低音单元为15"锥面；高音单元为1"VC、压缩驱动器-TW；</w:t>
            </w:r>
          </w:p>
          <w:p>
            <w:pPr>
              <w:pStyle w:val="52"/>
              <w:numPr>
                <w:ilvl w:val="0"/>
                <w:numId w:val="7"/>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综合信噪比:</w:t>
            </w:r>
            <w:r>
              <w:rPr>
                <w:rFonts w:hint="eastAsia" w:asciiTheme="minorEastAsia" w:hAnsiTheme="minorEastAsia" w:eastAsiaTheme="minorEastAsia"/>
                <w:color w:val="000000" w:themeColor="text1"/>
                <w:sz w:val="21"/>
                <w:szCs w:val="21"/>
              </w:rPr>
              <w:t>≧80</w:t>
            </w:r>
            <w:r>
              <w:rPr>
                <w:rFonts w:asciiTheme="minorEastAsia" w:hAnsiTheme="minorEastAsia" w:eastAsiaTheme="minorEastAsia"/>
                <w:color w:val="000000" w:themeColor="text1"/>
                <w:sz w:val="21"/>
                <w:szCs w:val="21"/>
              </w:rPr>
              <w:t>dB</w:t>
            </w:r>
          </w:p>
          <w:p>
            <w:pPr>
              <w:pStyle w:val="52"/>
              <w:numPr>
                <w:ilvl w:val="0"/>
                <w:numId w:val="7"/>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频率响应：60Hz-20kHz；</w:t>
            </w:r>
          </w:p>
          <w:p>
            <w:pPr>
              <w:pStyle w:val="52"/>
              <w:numPr>
                <w:ilvl w:val="0"/>
                <w:numId w:val="7"/>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功率容量：噪声</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200W；音乐</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400W；高峰值</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800W；</w:t>
            </w:r>
          </w:p>
          <w:p>
            <w:pPr>
              <w:pStyle w:val="52"/>
              <w:numPr>
                <w:ilvl w:val="0"/>
                <w:numId w:val="7"/>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灵敏度：</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9</w:t>
            </w:r>
            <w:r>
              <w:rPr>
                <w:rFonts w:hint="eastAsia" w:asciiTheme="minorEastAsia" w:hAnsiTheme="minorEastAsia" w:eastAsiaTheme="minorEastAsia"/>
                <w:color w:val="000000" w:themeColor="text1"/>
                <w:sz w:val="21"/>
                <w:szCs w:val="21"/>
              </w:rPr>
              <w:t>0</w:t>
            </w:r>
            <w:r>
              <w:rPr>
                <w:rFonts w:asciiTheme="minorEastAsia" w:hAnsiTheme="minorEastAsia" w:eastAsiaTheme="minorEastAsia"/>
                <w:color w:val="000000" w:themeColor="text1"/>
                <w:sz w:val="21"/>
                <w:szCs w:val="21"/>
              </w:rPr>
              <w:t xml:space="preserve">dB/w/m；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jc w:val="left"/>
              <w:rPr>
                <w:rFonts w:eastAsia="宋体" w:cs="Times New Roman" w:asciiTheme="minorEastAsia" w:hAnsiTheme="minorEastAsia"/>
                <w:color w:val="000000" w:themeColor="text1"/>
                <w:kern w:val="0"/>
                <w:sz w:val="21"/>
                <w:szCs w:val="21"/>
                <w:lang w:val="es-AR" w:bidi="ne-NP"/>
              </w:rPr>
            </w:pPr>
          </w:p>
          <w:p>
            <w:pPr>
              <w:jc w:val="left"/>
              <w:rPr>
                <w:rFonts w:eastAsia="宋体" w:cs="Times New Roman" w:asciiTheme="minorEastAsia" w:hAnsiTheme="minorEastAsia"/>
                <w:color w:val="000000" w:themeColor="text1"/>
                <w:kern w:val="0"/>
                <w:sz w:val="21"/>
                <w:szCs w:val="21"/>
                <w:lang w:val="es-AR" w:bidi="ne-NP"/>
              </w:rPr>
            </w:pPr>
            <w:r>
              <w:rPr>
                <w:rFonts w:hint="eastAsia" w:eastAsia="宋体" w:cs="Times New Roman" w:asciiTheme="minorEastAsia" w:hAnsiTheme="minorEastAsia"/>
                <w:color w:val="000000" w:themeColor="text1"/>
                <w:kern w:val="0"/>
                <w:sz w:val="21"/>
                <w:szCs w:val="21"/>
                <w:lang w:val="es-AR" w:bidi="ne-NP"/>
              </w:rPr>
              <w:t xml:space="preserve">   4</w:t>
            </w:r>
          </w:p>
        </w:tc>
        <w:tc>
          <w:tcPr>
            <w:tcW w:w="2048" w:type="dxa"/>
            <w:vAlign w:val="center"/>
          </w:tcPr>
          <w:p>
            <w:pPr>
              <w:jc w:val="left"/>
              <w:rPr>
                <w:rFonts w:eastAsia="宋体" w:cs="Times New Roman" w:asciiTheme="minorEastAsia" w:hAnsiTheme="minorEastAsia"/>
                <w:color w:val="000000" w:themeColor="text1"/>
                <w:kern w:val="0"/>
                <w:sz w:val="21"/>
                <w:szCs w:val="21"/>
                <w:lang w:val="es-AR" w:bidi="ne-NP"/>
              </w:rPr>
            </w:pPr>
            <w:r>
              <w:rPr>
                <w:rFonts w:hint="eastAsia" w:eastAsia="宋体" w:cs="Times New Roman" w:asciiTheme="minorEastAsia" w:hAnsiTheme="minorEastAsia"/>
                <w:color w:val="000000" w:themeColor="text1"/>
                <w:kern w:val="0"/>
                <w:sz w:val="21"/>
                <w:szCs w:val="21"/>
              </w:rPr>
              <w:t>投影仪</w:t>
            </w:r>
          </w:p>
        </w:tc>
        <w:tc>
          <w:tcPr>
            <w:tcW w:w="5890" w:type="dxa"/>
          </w:tcPr>
          <w:p>
            <w:pPr>
              <w:pStyle w:val="52"/>
              <w:numPr>
                <w:ilvl w:val="0"/>
                <w:numId w:val="8"/>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投影光源：LED；</w:t>
            </w:r>
          </w:p>
          <w:p>
            <w:pPr>
              <w:pStyle w:val="52"/>
              <w:numPr>
                <w:ilvl w:val="0"/>
                <w:numId w:val="8"/>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显示技术：DLP</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支持3D播放功能；</w:t>
            </w:r>
          </w:p>
          <w:p>
            <w:pPr>
              <w:pStyle w:val="52"/>
              <w:numPr>
                <w:ilvl w:val="0"/>
                <w:numId w:val="8"/>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安装方式：吊装正投；</w:t>
            </w:r>
          </w:p>
          <w:p>
            <w:pPr>
              <w:pStyle w:val="52"/>
              <w:numPr>
                <w:ilvl w:val="0"/>
                <w:numId w:val="8"/>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扬声器功率：2*8W；</w:t>
            </w:r>
          </w:p>
          <w:p>
            <w:pPr>
              <w:pStyle w:val="52"/>
              <w:numPr>
                <w:ilvl w:val="0"/>
                <w:numId w:val="8"/>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接口配置</w:t>
            </w:r>
            <w:r>
              <w:rPr>
                <w:rFonts w:asciiTheme="minorEastAsia" w:hAnsiTheme="minorEastAsia" w:eastAsiaTheme="minorEastAsia"/>
                <w:color w:val="000000" w:themeColor="text1"/>
                <w:sz w:val="21"/>
                <w:szCs w:val="21"/>
              </w:rPr>
              <w:t>：网络接口LAN≥1；USB 2.0接口≥2；音频输出Audio*1 Optical接口≥1；HDMI ARC接口*1 HDMI 2.0接口≥1；VGA线路</w:t>
            </w:r>
            <w:r>
              <w:rPr>
                <w:rFonts w:hint="eastAsia" w:asciiTheme="minorEastAsia" w:hAnsiTheme="minorEastAsia" w:eastAsiaTheme="minorEastAsia"/>
                <w:color w:val="000000" w:themeColor="text1"/>
                <w:sz w:val="21"/>
                <w:szCs w:val="21"/>
              </w:rPr>
              <w:t>输入接口</w:t>
            </w:r>
            <w:r>
              <w:rPr>
                <w:rFonts w:asciiTheme="minorEastAsia" w:hAnsiTheme="minorEastAsia" w:eastAsiaTheme="minorEastAsia"/>
                <w:color w:val="000000" w:themeColor="text1"/>
                <w:sz w:val="21"/>
                <w:szCs w:val="21"/>
              </w:rPr>
              <w:t>≥1路</w:t>
            </w:r>
            <w:r>
              <w:rPr>
                <w:rFonts w:hint="eastAsia" w:asciiTheme="minorEastAsia" w:hAnsiTheme="minorEastAsia" w:eastAsiaTheme="minorEastAsia"/>
                <w:color w:val="000000" w:themeColor="text1"/>
                <w:sz w:val="21"/>
                <w:szCs w:val="21"/>
              </w:rPr>
              <w:t>；</w:t>
            </w:r>
          </w:p>
          <w:p>
            <w:pPr>
              <w:pStyle w:val="52"/>
              <w:numPr>
                <w:ilvl w:val="0"/>
                <w:numId w:val="8"/>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具备</w:t>
            </w:r>
            <w:r>
              <w:rPr>
                <w:rFonts w:asciiTheme="minorEastAsia" w:hAnsiTheme="minorEastAsia" w:eastAsiaTheme="minorEastAsia"/>
                <w:color w:val="000000" w:themeColor="text1"/>
                <w:sz w:val="21"/>
                <w:szCs w:val="21"/>
              </w:rPr>
              <w:t>蓝牙</w:t>
            </w:r>
            <w:r>
              <w:rPr>
                <w:rFonts w:hint="eastAsia" w:asciiTheme="minorEastAsia" w:hAnsiTheme="minorEastAsia" w:eastAsiaTheme="minorEastAsia"/>
                <w:color w:val="000000" w:themeColor="text1"/>
                <w:sz w:val="21"/>
                <w:szCs w:val="21"/>
              </w:rPr>
              <w:t>连接、</w:t>
            </w:r>
            <w:r>
              <w:rPr>
                <w:rFonts w:asciiTheme="minorEastAsia" w:hAnsiTheme="minorEastAsia" w:eastAsiaTheme="minorEastAsia"/>
                <w:color w:val="000000" w:themeColor="text1"/>
                <w:sz w:val="21"/>
                <w:szCs w:val="21"/>
              </w:rPr>
              <w:t>WiFi连接</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无线投屏</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语音遥控</w:t>
            </w:r>
            <w:r>
              <w:rPr>
                <w:rFonts w:hint="eastAsia" w:asciiTheme="minorEastAsia" w:hAnsiTheme="minorEastAsia" w:eastAsiaTheme="minorEastAsia"/>
                <w:color w:val="000000" w:themeColor="text1"/>
                <w:sz w:val="21"/>
                <w:szCs w:val="21"/>
              </w:rPr>
              <w:t>功能；</w:t>
            </w:r>
          </w:p>
          <w:p>
            <w:pPr>
              <w:pStyle w:val="52"/>
              <w:numPr>
                <w:ilvl w:val="0"/>
                <w:numId w:val="8"/>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显示参数：</w:t>
            </w:r>
            <w:r>
              <w:rPr>
                <w:rFonts w:hint="eastAsia" w:asciiTheme="minorEastAsia" w:hAnsiTheme="minorEastAsia" w:eastAsiaTheme="minorEastAsia"/>
                <w:color w:val="000000" w:themeColor="text1"/>
                <w:sz w:val="21"/>
                <w:szCs w:val="21"/>
              </w:rPr>
              <w:t>具备</w:t>
            </w:r>
            <w:r>
              <w:rPr>
                <w:rFonts w:asciiTheme="minorEastAsia" w:hAnsiTheme="minorEastAsia" w:eastAsiaTheme="minorEastAsia"/>
                <w:color w:val="000000" w:themeColor="text1"/>
                <w:sz w:val="21"/>
                <w:szCs w:val="21"/>
              </w:rPr>
              <w:t>自动梯形矫正</w:t>
            </w:r>
            <w:r>
              <w:rPr>
                <w:rFonts w:hint="eastAsia" w:asciiTheme="minorEastAsia" w:hAnsiTheme="minorEastAsia" w:eastAsiaTheme="minorEastAsia"/>
                <w:color w:val="000000" w:themeColor="text1"/>
                <w:sz w:val="21"/>
                <w:szCs w:val="21"/>
              </w:rPr>
              <w:t>功能</w:t>
            </w:r>
            <w:r>
              <w:rPr>
                <w:rFonts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rPr>
              <w:t>分辨率支持4K、</w:t>
            </w:r>
            <w:r>
              <w:rPr>
                <w:rFonts w:asciiTheme="minorEastAsia" w:hAnsiTheme="minorEastAsia" w:eastAsiaTheme="minorEastAsia"/>
                <w:color w:val="000000" w:themeColor="text1"/>
                <w:sz w:val="21"/>
                <w:szCs w:val="21"/>
              </w:rPr>
              <w:t>1920X1080dpi</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自动对焦</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对比度1000-3000：1；投射比为1.2：1；显示比例16:9；</w:t>
            </w:r>
          </w:p>
          <w:p>
            <w:pPr>
              <w:pStyle w:val="52"/>
              <w:numPr>
                <w:ilvl w:val="0"/>
                <w:numId w:val="8"/>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投影距离</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2.6m；真实亮度≥1900ANSI流明；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ind w:firstLine="201" w:firstLineChars="100"/>
              <w:jc w:val="left"/>
              <w:rPr>
                <w:rFonts w:eastAsia="宋体" w:cs="Times New Roman" w:asciiTheme="minorEastAsia" w:hAnsiTheme="minorEastAsia"/>
                <w:color w:val="000000" w:themeColor="text1"/>
                <w:kern w:val="0"/>
                <w:sz w:val="21"/>
                <w:szCs w:val="21"/>
                <w:lang w:val="es-AR" w:bidi="ne-NP"/>
              </w:rPr>
            </w:pPr>
            <w:r>
              <w:rPr>
                <w:rFonts w:hint="eastAsia" w:eastAsia="宋体" w:cs="Times New Roman" w:asciiTheme="minorEastAsia" w:hAnsiTheme="minorEastAsia"/>
                <w:color w:val="000000" w:themeColor="text1"/>
                <w:kern w:val="0"/>
                <w:sz w:val="21"/>
                <w:szCs w:val="21"/>
                <w:lang w:val="es-AR" w:bidi="ne-NP"/>
              </w:rPr>
              <w:t>5</w:t>
            </w:r>
          </w:p>
          <w:p>
            <w:pPr>
              <w:ind w:firstLine="201" w:firstLineChars="100"/>
              <w:jc w:val="left"/>
              <w:rPr>
                <w:rFonts w:eastAsia="宋体" w:cs="Times New Roman" w:asciiTheme="minorEastAsia" w:hAnsiTheme="minorEastAsia"/>
                <w:color w:val="000000" w:themeColor="text1"/>
                <w:kern w:val="0"/>
                <w:sz w:val="21"/>
                <w:szCs w:val="21"/>
                <w:lang w:val="es-AR" w:bidi="ne-NP"/>
              </w:rPr>
            </w:pPr>
          </w:p>
        </w:tc>
        <w:tc>
          <w:tcPr>
            <w:tcW w:w="2048" w:type="dxa"/>
            <w:vAlign w:val="center"/>
          </w:tcPr>
          <w:p>
            <w:pPr>
              <w:jc w:val="left"/>
              <w:rPr>
                <w:rFonts w:eastAsia="宋体" w:cs="Times New Roman" w:asciiTheme="minorEastAsia" w:hAnsiTheme="minorEastAsia"/>
                <w:color w:val="000000" w:themeColor="text1"/>
                <w:kern w:val="0"/>
                <w:sz w:val="21"/>
                <w:szCs w:val="21"/>
              </w:rPr>
            </w:pPr>
            <w:r>
              <w:rPr>
                <w:rFonts w:hint="eastAsia" w:eastAsia="宋体" w:cs="Times New Roman" w:asciiTheme="minorEastAsia" w:hAnsiTheme="minorEastAsia"/>
                <w:color w:val="000000" w:themeColor="text1"/>
                <w:kern w:val="0"/>
                <w:sz w:val="21"/>
                <w:szCs w:val="21"/>
              </w:rPr>
              <w:t>电动投影幕布</w:t>
            </w:r>
          </w:p>
        </w:tc>
        <w:tc>
          <w:tcPr>
            <w:tcW w:w="5890" w:type="dxa"/>
          </w:tcPr>
          <w:p>
            <w:pPr>
              <w:pStyle w:val="52"/>
              <w:widowControl w:val="0"/>
              <w:numPr>
                <w:ilvl w:val="0"/>
                <w:numId w:val="9"/>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幕布尺寸：≥100英寸；</w:t>
            </w:r>
          </w:p>
          <w:p>
            <w:pPr>
              <w:pStyle w:val="52"/>
              <w:widowControl w:val="0"/>
              <w:numPr>
                <w:ilvl w:val="0"/>
                <w:numId w:val="9"/>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幕布比例：16:9；投影面积：</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2214*1245mm；</w:t>
            </w:r>
          </w:p>
          <w:p>
            <w:pPr>
              <w:pStyle w:val="52"/>
              <w:widowControl w:val="0"/>
              <w:numPr>
                <w:ilvl w:val="0"/>
                <w:numId w:val="9"/>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具备</w:t>
            </w:r>
            <w:r>
              <w:rPr>
                <w:rFonts w:asciiTheme="minorEastAsia" w:hAnsiTheme="minorEastAsia" w:eastAsiaTheme="minorEastAsia"/>
                <w:color w:val="000000" w:themeColor="text1"/>
                <w:sz w:val="21"/>
                <w:szCs w:val="21"/>
              </w:rPr>
              <w:t>遥控电动光子幕布</w:t>
            </w:r>
            <w:r>
              <w:rPr>
                <w:rFonts w:hint="eastAsia" w:asciiTheme="minorEastAsia" w:hAnsiTheme="minorEastAsia" w:eastAsiaTheme="minorEastAsia"/>
                <w:color w:val="000000" w:themeColor="text1"/>
                <w:sz w:val="21"/>
                <w:szCs w:val="21"/>
              </w:rPr>
              <w:t>功能</w:t>
            </w:r>
            <w:r>
              <w:rPr>
                <w:rFonts w:asciiTheme="minorEastAsia" w:hAnsiTheme="minorEastAsia" w:eastAsiaTheme="minorEastAsia"/>
                <w:color w:val="000000" w:themeColor="text1"/>
                <w:sz w:val="21"/>
                <w:szCs w:val="21"/>
              </w:rPr>
              <w:t>；</w:t>
            </w:r>
          </w:p>
          <w:p>
            <w:pPr>
              <w:pStyle w:val="52"/>
              <w:widowControl w:val="0"/>
              <w:numPr>
                <w:ilvl w:val="0"/>
                <w:numId w:val="9"/>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支持4K色彩</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漫反射呈像</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抗光；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ind w:firstLine="201" w:firstLineChars="100"/>
              <w:jc w:val="left"/>
              <w:rPr>
                <w:rFonts w:eastAsia="宋体" w:cs="Times New Roman" w:asciiTheme="minorEastAsia" w:hAnsiTheme="minorEastAsia"/>
                <w:color w:val="000000" w:themeColor="text1"/>
                <w:kern w:val="0"/>
                <w:sz w:val="21"/>
                <w:szCs w:val="21"/>
                <w:lang w:val="es-AR" w:bidi="ne-NP"/>
              </w:rPr>
            </w:pPr>
          </w:p>
          <w:p>
            <w:pPr>
              <w:ind w:firstLine="201" w:firstLineChars="100"/>
              <w:jc w:val="left"/>
              <w:rPr>
                <w:rFonts w:eastAsia="宋体" w:cs="Times New Roman" w:asciiTheme="minorEastAsia" w:hAnsiTheme="minorEastAsia"/>
                <w:color w:val="000000" w:themeColor="text1"/>
                <w:kern w:val="0"/>
                <w:sz w:val="21"/>
                <w:szCs w:val="21"/>
                <w:lang w:val="es-AR" w:bidi="ne-NP"/>
              </w:rPr>
            </w:pPr>
            <w:r>
              <w:rPr>
                <w:rFonts w:hint="eastAsia" w:eastAsia="宋体" w:cs="Times New Roman" w:asciiTheme="minorEastAsia" w:hAnsiTheme="minorEastAsia"/>
                <w:color w:val="000000" w:themeColor="text1"/>
                <w:kern w:val="0"/>
                <w:sz w:val="21"/>
                <w:szCs w:val="21"/>
                <w:lang w:val="es-AR" w:bidi="ne-NP"/>
              </w:rPr>
              <w:t>6</w:t>
            </w:r>
          </w:p>
        </w:tc>
        <w:tc>
          <w:tcPr>
            <w:tcW w:w="2048" w:type="dxa"/>
            <w:vAlign w:val="center"/>
          </w:tcPr>
          <w:p>
            <w:pPr>
              <w:jc w:val="left"/>
              <w:rPr>
                <w:rFonts w:eastAsia="宋体" w:cs="Times New Roman" w:asciiTheme="minorEastAsia" w:hAnsiTheme="minorEastAsia"/>
                <w:color w:val="000000" w:themeColor="text1"/>
                <w:kern w:val="0"/>
                <w:sz w:val="21"/>
                <w:szCs w:val="21"/>
              </w:rPr>
            </w:pPr>
            <w:r>
              <w:rPr>
                <w:rFonts w:eastAsia="宋体" w:cs="Times New Roman" w:asciiTheme="minorEastAsia" w:hAnsiTheme="minorEastAsia"/>
                <w:color w:val="000000" w:themeColor="text1"/>
                <w:kern w:val="0"/>
                <w:sz w:val="21"/>
                <w:szCs w:val="21"/>
              </w:rPr>
              <w:t>65英寸会议平板电视</w:t>
            </w:r>
          </w:p>
        </w:tc>
        <w:tc>
          <w:tcPr>
            <w:tcW w:w="5890" w:type="dxa"/>
          </w:tcPr>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显示参数：屏尺寸≥65英寸，显示比例：16:9，分辨率≥</w:t>
            </w:r>
            <w:r>
              <w:rPr>
                <w:rFonts w:hint="eastAsia" w:asciiTheme="minorEastAsia" w:hAnsiTheme="minorEastAsia" w:eastAsiaTheme="minorEastAsia"/>
                <w:color w:val="000000" w:themeColor="text1"/>
                <w:sz w:val="21"/>
                <w:szCs w:val="21"/>
              </w:rPr>
              <w:t>4096×2160</w:t>
            </w:r>
            <w:r>
              <w:rPr>
                <w:rFonts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 xml:space="preserve">采用双操作系统模式：Android </w:t>
            </w:r>
            <w:r>
              <w:rPr>
                <w:rFonts w:hint="eastAsia" w:asciiTheme="minorEastAsia" w:hAnsiTheme="minorEastAsia" w:eastAsiaTheme="minorEastAsia"/>
                <w:color w:val="000000" w:themeColor="text1"/>
                <w:sz w:val="21"/>
                <w:szCs w:val="21"/>
              </w:rPr>
              <w:t>9</w:t>
            </w:r>
            <w:r>
              <w:rPr>
                <w:rFonts w:asciiTheme="minorEastAsia" w:hAnsiTheme="minorEastAsia" w:eastAsiaTheme="minorEastAsia"/>
                <w:color w:val="000000" w:themeColor="text1"/>
                <w:sz w:val="21"/>
                <w:szCs w:val="21"/>
              </w:rPr>
              <w:t>.0</w:t>
            </w:r>
            <w:r>
              <w:rPr>
                <w:rFonts w:hint="eastAsia" w:asciiTheme="minorEastAsia" w:hAnsiTheme="minorEastAsia" w:eastAsiaTheme="minorEastAsia"/>
                <w:color w:val="000000" w:themeColor="text1"/>
                <w:sz w:val="21"/>
                <w:szCs w:val="21"/>
              </w:rPr>
              <w:t>及以上</w:t>
            </w:r>
            <w:r>
              <w:rPr>
                <w:rFonts w:asciiTheme="minorEastAsia" w:hAnsiTheme="minorEastAsia" w:eastAsiaTheme="minorEastAsia"/>
                <w:color w:val="000000" w:themeColor="text1"/>
                <w:sz w:val="21"/>
                <w:szCs w:val="21"/>
              </w:rPr>
              <w:t>操作系统，存储容量</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32G ROM，系统内存</w:t>
            </w:r>
            <w:r>
              <w:rPr>
                <w:rFonts w:hint="eastAsia" w:asciiTheme="minorEastAsia" w:hAnsiTheme="minorEastAsia" w:eastAsiaTheme="minorEastAsia"/>
                <w:color w:val="000000" w:themeColor="text1"/>
                <w:sz w:val="21"/>
                <w:szCs w:val="21"/>
              </w:rPr>
              <w:t>≧1</w:t>
            </w:r>
            <w:r>
              <w:rPr>
                <w:rFonts w:asciiTheme="minorEastAsia" w:hAnsiTheme="minorEastAsia" w:eastAsiaTheme="minorEastAsia"/>
                <w:color w:val="000000" w:themeColor="text1"/>
                <w:sz w:val="21"/>
                <w:szCs w:val="21"/>
              </w:rPr>
              <w:t>2G RAM</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Windows10 64位企业版正版操作系统，</w:t>
            </w:r>
            <w:r>
              <w:rPr>
                <w:rFonts w:hint="eastAsia" w:asciiTheme="minorEastAsia" w:hAnsiTheme="minorEastAsia" w:eastAsiaTheme="minorEastAsia"/>
                <w:color w:val="000000" w:themeColor="text1"/>
                <w:sz w:val="21"/>
                <w:szCs w:val="21"/>
              </w:rPr>
              <w:t>不低于</w:t>
            </w:r>
            <w:r>
              <w:rPr>
                <w:rFonts w:asciiTheme="minorEastAsia" w:hAnsiTheme="minorEastAsia" w:eastAsiaTheme="minorEastAsia"/>
                <w:color w:val="000000" w:themeColor="text1"/>
                <w:sz w:val="21"/>
                <w:szCs w:val="21"/>
              </w:rPr>
              <w:t>i7</w:t>
            </w:r>
            <w:r>
              <w:rPr>
                <w:rFonts w:hint="eastAsia" w:asciiTheme="minorEastAsia" w:hAnsiTheme="minorEastAsia" w:eastAsiaTheme="minorEastAsia"/>
                <w:color w:val="000000" w:themeColor="text1"/>
                <w:sz w:val="21"/>
                <w:szCs w:val="21"/>
              </w:rPr>
              <w:t>-104</w:t>
            </w:r>
            <w:r>
              <w:rPr>
                <w:rFonts w:asciiTheme="minorEastAsia" w:hAnsiTheme="minorEastAsia" w:eastAsiaTheme="minorEastAsia"/>
                <w:color w:val="000000" w:themeColor="text1"/>
                <w:sz w:val="21"/>
                <w:szCs w:val="21"/>
              </w:rPr>
              <w:t>00处理器</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运行内存</w:t>
            </w:r>
            <w:r>
              <w:rPr>
                <w:rFonts w:hint="eastAsia" w:asciiTheme="minorEastAsia" w:hAnsiTheme="minorEastAsia" w:eastAsiaTheme="minorEastAsia"/>
                <w:color w:val="000000" w:themeColor="text1"/>
                <w:sz w:val="21"/>
                <w:szCs w:val="21"/>
              </w:rPr>
              <w:t>≧16</w:t>
            </w:r>
            <w:r>
              <w:rPr>
                <w:rFonts w:asciiTheme="minorEastAsia" w:hAnsiTheme="minorEastAsia" w:eastAsiaTheme="minorEastAsia"/>
                <w:color w:val="000000" w:themeColor="text1"/>
                <w:sz w:val="21"/>
                <w:szCs w:val="21"/>
              </w:rPr>
              <w:t>G，固态硬盘</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256G</w:t>
            </w:r>
            <w:r>
              <w:rPr>
                <w:rFonts w:hint="eastAsia"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接口配置：</w:t>
            </w:r>
            <w:r>
              <w:rPr>
                <w:rFonts w:asciiTheme="minorEastAsia" w:hAnsiTheme="minorEastAsia" w:eastAsiaTheme="minorEastAsia"/>
                <w:color w:val="000000" w:themeColor="text1"/>
                <w:sz w:val="21"/>
                <w:szCs w:val="21"/>
              </w:rPr>
              <w:t>输入端子:HDMI≥2路</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USB 2.0≥3路</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USB 3.0≥1路</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 xml:space="preserve"> RJ45≥1路; VGA线路</w:t>
            </w:r>
            <w:r>
              <w:rPr>
                <w:rFonts w:hint="eastAsia" w:asciiTheme="minorEastAsia" w:hAnsiTheme="minorEastAsia" w:eastAsiaTheme="minorEastAsia"/>
                <w:color w:val="000000" w:themeColor="text1"/>
                <w:sz w:val="21"/>
                <w:szCs w:val="21"/>
              </w:rPr>
              <w:t>接口</w:t>
            </w:r>
            <w:r>
              <w:rPr>
                <w:rFonts w:asciiTheme="minorEastAsia" w:hAnsiTheme="minorEastAsia" w:eastAsiaTheme="minorEastAsia"/>
                <w:color w:val="000000" w:themeColor="text1"/>
                <w:sz w:val="21"/>
                <w:szCs w:val="21"/>
              </w:rPr>
              <w:t>≥1路</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输出端子：HDMI OUT≥1路</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 xml:space="preserve"> LINE OUT≥1路</w:t>
            </w:r>
            <w:r>
              <w:rPr>
                <w:rFonts w:hint="eastAsia"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采用模块化电脑，抽拉内置式，PC模块可完全插入整机，保护PC模块不易受灰尘影响</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采用80pin以上接口，实现无单独接线的插拔</w:t>
            </w:r>
            <w:r>
              <w:rPr>
                <w:rFonts w:hint="eastAsia"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 xml:space="preserve">整机采用红外触控系统，支持20点触摸，支持手或笔触摸、书写； </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内置高清摄像头</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800万，阵列式麦克风</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6颗；</w:t>
            </w:r>
            <w:r>
              <w:rPr>
                <w:rFonts w:hint="eastAsia" w:asciiTheme="minorEastAsia" w:hAnsiTheme="minorEastAsia" w:eastAsiaTheme="minorEastAsia"/>
                <w:color w:val="000000" w:themeColor="text1"/>
                <w:sz w:val="21"/>
                <w:szCs w:val="21"/>
              </w:rPr>
              <w:t>具备</w:t>
            </w:r>
            <w:r>
              <w:rPr>
                <w:rFonts w:asciiTheme="minorEastAsia" w:hAnsiTheme="minorEastAsia" w:eastAsiaTheme="minorEastAsia"/>
                <w:color w:val="000000" w:themeColor="text1"/>
                <w:sz w:val="21"/>
                <w:szCs w:val="21"/>
              </w:rPr>
              <w:t>拍照功能，利用前置高清摄像头，支持照片快捷插入白板或生成二维码进行分享</w:t>
            </w:r>
            <w:r>
              <w:rPr>
                <w:rFonts w:hint="eastAsia"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内置天线设计，整机包括PC模块无外伸天线</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整机支持电脑、手机无线传屏；手机和电脑支持混合投屏展示，最多支持四画面同屏展示；</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Windows应用程序可通过在会议平板中的快捷图标启动，无须切换到Windows原生桌面中启动；</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自带视频会议系统，</w:t>
            </w:r>
            <w:r>
              <w:rPr>
                <w:rFonts w:hint="eastAsia" w:asciiTheme="minorEastAsia" w:hAnsiTheme="minorEastAsia" w:eastAsiaTheme="minorEastAsia"/>
                <w:color w:val="000000" w:themeColor="text1"/>
                <w:sz w:val="21"/>
                <w:szCs w:val="21"/>
              </w:rPr>
              <w:t>同时支持安装第三方视频会议软件；</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侧拉栏：在屏幕两侧均可通过手势滑动拉出侧拉拦，可实现设置、计时器、截图、拍照、快传、录屏、投票器等常用系统工具</w:t>
            </w:r>
            <w:r>
              <w:rPr>
                <w:rFonts w:hint="eastAsia"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白板参数：需内置白板书写软件，支持背景切换、图片插入、表格插入等功能；在非白板模式下可快捷调出书写板，满足用户临时快速书写需求</w:t>
            </w:r>
            <w:r>
              <w:rPr>
                <w:rFonts w:hint="eastAsia" w:asciiTheme="minorEastAsia" w:hAnsiTheme="minorEastAsia" w:eastAsiaTheme="minorEastAsia"/>
                <w:color w:val="000000" w:themeColor="text1"/>
                <w:sz w:val="21"/>
                <w:szCs w:val="21"/>
              </w:rPr>
              <w:t>；且</w:t>
            </w:r>
            <w:r>
              <w:rPr>
                <w:rFonts w:asciiTheme="minorEastAsia" w:hAnsiTheme="minorEastAsia" w:eastAsiaTheme="minorEastAsia"/>
                <w:color w:val="000000" w:themeColor="text1"/>
                <w:sz w:val="21"/>
                <w:szCs w:val="21"/>
              </w:rPr>
              <w:t>白板内容无需另存为图片格式打印，支持白板内一键打印，方便会议记录纸质文档保存；</w:t>
            </w:r>
            <w:r>
              <w:rPr>
                <w:rFonts w:hint="eastAsia" w:asciiTheme="minorEastAsia" w:hAnsiTheme="minorEastAsia" w:eastAsiaTheme="minorEastAsia"/>
                <w:color w:val="000000" w:themeColor="text1"/>
                <w:sz w:val="21"/>
                <w:szCs w:val="21"/>
              </w:rPr>
              <w:t>有</w:t>
            </w:r>
            <w:r>
              <w:rPr>
                <w:rFonts w:asciiTheme="minorEastAsia" w:hAnsiTheme="minorEastAsia" w:eastAsiaTheme="minorEastAsia"/>
                <w:color w:val="000000" w:themeColor="text1"/>
                <w:sz w:val="21"/>
                <w:szCs w:val="21"/>
              </w:rPr>
              <w:t>专门的搜索入口，并可将搜索结果的图片插入到白板进行讲解</w:t>
            </w:r>
            <w:r>
              <w:rPr>
                <w:rFonts w:hint="eastAsia"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手机扫码一键授权大屏登录个人资料夹，轻松查看历史会议记录</w:t>
            </w:r>
            <w:r>
              <w:rPr>
                <w:rFonts w:hint="eastAsia"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文稿演示中个人资料夹最多可支持20个账号同时登陆，方便不同人员资料查询、下载</w:t>
            </w:r>
            <w:r>
              <w:rPr>
                <w:rFonts w:hint="eastAsia"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兼容常用的PPT播放软件，搭配PC模块后无需调用PPT播放软件的批注功能，即可对PPT播放状态下进行连续多页批注，擦除，批注内容与原文件扫码分享保存；</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内置检测软件，可对设备运行故障、异常进行检测、修复</w:t>
            </w:r>
            <w:r>
              <w:rPr>
                <w:rFonts w:hint="eastAsia"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具备</w:t>
            </w:r>
            <w:r>
              <w:rPr>
                <w:rFonts w:asciiTheme="minorEastAsia" w:hAnsiTheme="minorEastAsia" w:eastAsiaTheme="minorEastAsia"/>
                <w:color w:val="000000" w:themeColor="text1"/>
                <w:sz w:val="21"/>
                <w:szCs w:val="21"/>
              </w:rPr>
              <w:t>移动设备无线投屏功能</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欢迎界面</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截图功能</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可实现对指定区域或全屏截图，截图可直接导入到白板或保存在本地，截图文件支持在白板中编辑并保存</w:t>
            </w:r>
            <w:r>
              <w:rPr>
                <w:rFonts w:hint="eastAsia"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支持集控管理平台软件对接，实现集控相关功能，如：批量设备管理、远程操控、个性化设置、软件管理、报表管理、账号管理等功能</w:t>
            </w:r>
            <w:r>
              <w:rPr>
                <w:rFonts w:hint="eastAsia" w:asciiTheme="minorEastAsia" w:hAnsiTheme="minorEastAsia" w:eastAsiaTheme="minorEastAsia"/>
                <w:color w:val="000000" w:themeColor="text1"/>
                <w:sz w:val="21"/>
                <w:szCs w:val="21"/>
              </w:rPr>
              <w:t>；</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hint="eastAsia" w:cs="微软雅黑"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rPr>
              <w:t>单独配置</w:t>
            </w:r>
            <w:r>
              <w:rPr>
                <w:rFonts w:asciiTheme="minorEastAsia" w:hAnsiTheme="minorEastAsia" w:eastAsiaTheme="minorEastAsia"/>
                <w:color w:val="000000" w:themeColor="text1"/>
                <w:sz w:val="21"/>
                <w:szCs w:val="21"/>
              </w:rPr>
              <w:t>数码翻页笔</w:t>
            </w:r>
            <w:r>
              <w:rPr>
                <w:rFonts w:hint="eastAsia" w:asciiTheme="minorEastAsia" w:hAnsiTheme="minorEastAsia" w:eastAsiaTheme="minorEastAsia"/>
                <w:color w:val="000000" w:themeColor="text1"/>
                <w:sz w:val="21"/>
                <w:szCs w:val="21"/>
              </w:rPr>
              <w:t>：具备</w:t>
            </w:r>
            <w:r>
              <w:rPr>
                <w:rFonts w:asciiTheme="minorEastAsia" w:hAnsiTheme="minorEastAsia" w:eastAsiaTheme="minorEastAsia"/>
                <w:color w:val="000000" w:themeColor="text1"/>
                <w:sz w:val="21"/>
                <w:szCs w:val="21"/>
              </w:rPr>
              <w:t>遥控技术、控制距离</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30米；</w:t>
            </w:r>
            <w:r>
              <w:rPr>
                <w:rFonts w:hint="eastAsia" w:asciiTheme="minorEastAsia" w:hAnsiTheme="minorEastAsia" w:eastAsiaTheme="minorEastAsia"/>
                <w:color w:val="000000" w:themeColor="text1"/>
                <w:sz w:val="21"/>
                <w:szCs w:val="21"/>
              </w:rPr>
              <w:t>具备</w:t>
            </w:r>
            <w:r>
              <w:rPr>
                <w:rFonts w:asciiTheme="minorEastAsia" w:hAnsiTheme="minorEastAsia" w:eastAsiaTheme="minorEastAsia"/>
                <w:color w:val="000000" w:themeColor="text1"/>
                <w:sz w:val="21"/>
                <w:szCs w:val="21"/>
              </w:rPr>
              <w:t>USB3.0接口</w:t>
            </w:r>
            <w:r>
              <w:rPr>
                <w:rFonts w:hint="eastAsia" w:asciiTheme="minorEastAsia" w:hAnsiTheme="minorEastAsia" w:eastAsiaTheme="minorEastAsia"/>
                <w:color w:val="000000" w:themeColor="text1"/>
                <w:sz w:val="21"/>
                <w:szCs w:val="21"/>
              </w:rPr>
              <w:t>≧1个，适配主流操作系统且无版本限制；</w:t>
            </w:r>
          </w:p>
          <w:p>
            <w:pPr>
              <w:pStyle w:val="52"/>
              <w:widowControl w:val="0"/>
              <w:numPr>
                <w:ilvl w:val="0"/>
                <w:numId w:val="10"/>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配件包含：落地支架*1、无线</w:t>
            </w:r>
            <w:r>
              <w:rPr>
                <w:rFonts w:asciiTheme="minorEastAsia" w:hAnsiTheme="minorEastAsia" w:eastAsiaTheme="minorEastAsia"/>
                <w:color w:val="000000" w:themeColor="text1"/>
                <w:sz w:val="21"/>
                <w:szCs w:val="21"/>
              </w:rPr>
              <w:t>传屏宝*1，书写笔*2，遥控器*1，HDMI线*1</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1</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3米，USB延长线*1</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400mm</w:t>
            </w:r>
            <w:r>
              <w:rPr>
                <w:rFonts w:hint="eastAsia" w:asciiTheme="minorEastAsia" w:hAnsiTheme="minorEastAsia" w:eastAsiaTheme="minorEastAsia"/>
                <w:color w:val="000000" w:themeColor="text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ind w:firstLine="201" w:firstLineChars="100"/>
              <w:jc w:val="left"/>
              <w:rPr>
                <w:rFonts w:eastAsia="宋体" w:cs="Times New Roman" w:asciiTheme="minorEastAsia" w:hAnsiTheme="minorEastAsia"/>
                <w:color w:val="000000" w:themeColor="text1"/>
                <w:kern w:val="0"/>
                <w:sz w:val="21"/>
                <w:szCs w:val="21"/>
                <w:lang w:val="es-AR" w:bidi="ne-NP"/>
              </w:rPr>
            </w:pPr>
          </w:p>
          <w:p>
            <w:pPr>
              <w:jc w:val="left"/>
              <w:rPr>
                <w:rFonts w:eastAsia="宋体" w:cs="Times New Roman" w:asciiTheme="minorEastAsia" w:hAnsiTheme="minorEastAsia"/>
                <w:color w:val="000000" w:themeColor="text1"/>
                <w:kern w:val="0"/>
                <w:sz w:val="21"/>
                <w:szCs w:val="21"/>
                <w:lang w:val="es-AR" w:bidi="ne-NP"/>
              </w:rPr>
            </w:pPr>
            <w:r>
              <w:rPr>
                <w:rFonts w:hint="eastAsia" w:eastAsia="宋体" w:cs="Times New Roman" w:asciiTheme="minorEastAsia" w:hAnsiTheme="minorEastAsia"/>
                <w:color w:val="000000" w:themeColor="text1"/>
                <w:kern w:val="0"/>
                <w:sz w:val="21"/>
                <w:szCs w:val="21"/>
                <w:lang w:val="es-AR" w:bidi="ne-NP"/>
              </w:rPr>
              <w:t xml:space="preserve">   7</w:t>
            </w:r>
          </w:p>
        </w:tc>
        <w:tc>
          <w:tcPr>
            <w:tcW w:w="2048" w:type="dxa"/>
          </w:tcPr>
          <w:p>
            <w:pPr>
              <w:jc w:val="left"/>
              <w:rPr>
                <w:rFonts w:eastAsia="宋体" w:cs="Times New Roman" w:asciiTheme="minorEastAsia" w:hAnsiTheme="minorEastAsia"/>
                <w:color w:val="000000" w:themeColor="text1"/>
                <w:kern w:val="0"/>
                <w:sz w:val="21"/>
                <w:szCs w:val="21"/>
              </w:rPr>
            </w:pPr>
          </w:p>
          <w:p>
            <w:pPr>
              <w:jc w:val="left"/>
              <w:rPr>
                <w:rFonts w:eastAsia="宋体" w:cs="Times New Roman" w:asciiTheme="minorEastAsia" w:hAnsiTheme="minorEastAsia"/>
                <w:color w:val="000000" w:themeColor="text1"/>
                <w:kern w:val="0"/>
                <w:sz w:val="21"/>
                <w:szCs w:val="21"/>
              </w:rPr>
            </w:pPr>
          </w:p>
          <w:p>
            <w:pPr>
              <w:jc w:val="left"/>
              <w:rPr>
                <w:rFonts w:eastAsia="宋体" w:cs="Times New Roman" w:asciiTheme="minorEastAsia" w:hAnsiTheme="minorEastAsia"/>
                <w:color w:val="000000" w:themeColor="text1"/>
                <w:kern w:val="0"/>
                <w:sz w:val="21"/>
                <w:szCs w:val="21"/>
              </w:rPr>
            </w:pPr>
          </w:p>
          <w:p>
            <w:pPr>
              <w:jc w:val="left"/>
              <w:rPr>
                <w:rFonts w:eastAsia="宋体" w:cs="Times New Roman" w:asciiTheme="minorEastAsia" w:hAnsiTheme="minorEastAsia"/>
                <w:color w:val="000000" w:themeColor="text1"/>
                <w:kern w:val="0"/>
                <w:sz w:val="21"/>
                <w:szCs w:val="21"/>
              </w:rPr>
            </w:pPr>
            <w:r>
              <w:rPr>
                <w:rFonts w:hint="eastAsia" w:eastAsia="宋体" w:cs="Times New Roman" w:asciiTheme="minorEastAsia" w:hAnsiTheme="minorEastAsia"/>
                <w:color w:val="000000" w:themeColor="text1"/>
                <w:kern w:val="0"/>
                <w:sz w:val="21"/>
                <w:szCs w:val="21"/>
              </w:rPr>
              <w:t>台式电脑</w:t>
            </w:r>
          </w:p>
        </w:tc>
        <w:tc>
          <w:tcPr>
            <w:tcW w:w="5890" w:type="dxa"/>
          </w:tcPr>
          <w:p>
            <w:pPr>
              <w:pStyle w:val="52"/>
              <w:widowControl w:val="0"/>
              <w:numPr>
                <w:ilvl w:val="0"/>
                <w:numId w:val="11"/>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操作系统：win10 64正版操作系统不限版本；</w:t>
            </w:r>
          </w:p>
          <w:p>
            <w:pPr>
              <w:pStyle w:val="52"/>
              <w:widowControl w:val="0"/>
              <w:numPr>
                <w:ilvl w:val="0"/>
                <w:numId w:val="11"/>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sz w:val="21"/>
                <w:szCs w:val="21"/>
              </w:rPr>
              <w:t>★</w:t>
            </w:r>
            <w:r>
              <w:rPr>
                <w:rFonts w:asciiTheme="minorEastAsia" w:hAnsiTheme="minorEastAsia" w:eastAsiaTheme="minorEastAsia"/>
                <w:color w:val="000000" w:themeColor="text1"/>
                <w:sz w:val="21"/>
                <w:szCs w:val="21"/>
              </w:rPr>
              <w:t>CPU：</w:t>
            </w:r>
            <w:r>
              <w:rPr>
                <w:rFonts w:hint="eastAsia" w:asciiTheme="minorEastAsia" w:hAnsiTheme="minorEastAsia" w:eastAsiaTheme="minorEastAsia"/>
                <w:color w:val="000000" w:themeColor="text1"/>
                <w:sz w:val="21"/>
                <w:szCs w:val="21"/>
              </w:rPr>
              <w:t>CPU类型不低于</w:t>
            </w:r>
            <w:r>
              <w:rPr>
                <w:rFonts w:asciiTheme="minorEastAsia" w:hAnsiTheme="minorEastAsia" w:eastAsiaTheme="minorEastAsia"/>
                <w:color w:val="000000" w:themeColor="text1"/>
                <w:sz w:val="21"/>
                <w:szCs w:val="21"/>
              </w:rPr>
              <w:t>i5-</w:t>
            </w:r>
            <w:r>
              <w:rPr>
                <w:rFonts w:hint="eastAsia" w:asciiTheme="minorEastAsia" w:hAnsiTheme="minorEastAsia" w:eastAsiaTheme="minorEastAsia"/>
                <w:color w:val="000000" w:themeColor="text1"/>
                <w:sz w:val="21"/>
                <w:szCs w:val="21"/>
              </w:rPr>
              <w:t>104</w:t>
            </w:r>
            <w:r>
              <w:rPr>
                <w:rFonts w:asciiTheme="minorEastAsia" w:hAnsiTheme="minorEastAsia" w:eastAsiaTheme="minorEastAsia"/>
                <w:color w:val="000000" w:themeColor="text1"/>
                <w:sz w:val="21"/>
                <w:szCs w:val="21"/>
              </w:rPr>
              <w:t>00</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六核</w:t>
            </w:r>
            <w:r>
              <w:rPr>
                <w:rFonts w:hint="eastAsia" w:asciiTheme="minorEastAsia" w:hAnsiTheme="minorEastAsia" w:eastAsiaTheme="minorEastAsia"/>
                <w:color w:val="000000" w:themeColor="text1"/>
                <w:sz w:val="21"/>
                <w:szCs w:val="21"/>
              </w:rPr>
              <w:t>；</w:t>
            </w:r>
          </w:p>
          <w:p>
            <w:pPr>
              <w:pStyle w:val="52"/>
              <w:widowControl w:val="0"/>
              <w:numPr>
                <w:ilvl w:val="0"/>
                <w:numId w:val="11"/>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内存：内存</w:t>
            </w:r>
            <w:r>
              <w:rPr>
                <w:rFonts w:hint="eastAsia" w:asciiTheme="minorEastAsia" w:hAnsiTheme="minorEastAsia" w:eastAsiaTheme="minorEastAsia"/>
                <w:color w:val="000000" w:themeColor="text1"/>
                <w:sz w:val="21"/>
                <w:szCs w:val="21"/>
              </w:rPr>
              <w:t>容量≧16G,插槽≧2个,最大可支持容量32GB,类型DDR4 2666MHz；</w:t>
            </w:r>
          </w:p>
          <w:p>
            <w:pPr>
              <w:pStyle w:val="52"/>
              <w:widowControl w:val="0"/>
              <w:numPr>
                <w:ilvl w:val="0"/>
                <w:numId w:val="11"/>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硬盘：</w:t>
            </w:r>
            <w:r>
              <w:rPr>
                <w:rFonts w:asciiTheme="minorEastAsia" w:hAnsiTheme="minorEastAsia" w:eastAsiaTheme="minorEastAsia"/>
                <w:color w:val="000000" w:themeColor="text1"/>
                <w:sz w:val="21"/>
                <w:szCs w:val="21"/>
              </w:rPr>
              <w:t>固态硬盘（SSD）</w:t>
            </w:r>
            <w:r>
              <w:rPr>
                <w:rFonts w:hint="eastAsia" w:asciiTheme="minorEastAsia" w:hAnsiTheme="minorEastAsia" w:eastAsiaTheme="minorEastAsia"/>
                <w:color w:val="000000" w:themeColor="text1"/>
                <w:sz w:val="21"/>
                <w:szCs w:val="21"/>
              </w:rPr>
              <w:t>≧512</w:t>
            </w:r>
            <w:r>
              <w:rPr>
                <w:rFonts w:asciiTheme="minorEastAsia" w:hAnsiTheme="minorEastAsia" w:eastAsiaTheme="minorEastAsia"/>
                <w:color w:val="000000" w:themeColor="text1"/>
                <w:sz w:val="21"/>
                <w:szCs w:val="21"/>
              </w:rPr>
              <w:t>GB</w:t>
            </w:r>
            <w:r>
              <w:rPr>
                <w:rFonts w:hint="eastAsia" w:asciiTheme="minorEastAsia" w:hAnsiTheme="minorEastAsia" w:eastAsiaTheme="minorEastAsia"/>
                <w:color w:val="000000" w:themeColor="text1"/>
                <w:sz w:val="21"/>
                <w:szCs w:val="21"/>
              </w:rPr>
              <w:t>，机械硬盘≧1T；</w:t>
            </w:r>
          </w:p>
          <w:p>
            <w:pPr>
              <w:pStyle w:val="52"/>
              <w:widowControl w:val="0"/>
              <w:numPr>
                <w:ilvl w:val="0"/>
                <w:numId w:val="11"/>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接口：USB接口</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6个</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VGA\HDMI</w:t>
            </w:r>
            <w:r>
              <w:rPr>
                <w:rFonts w:hint="eastAsia" w:asciiTheme="minorEastAsia" w:hAnsiTheme="minorEastAsia" w:eastAsiaTheme="minorEastAsia"/>
                <w:color w:val="000000" w:themeColor="text1"/>
                <w:sz w:val="21"/>
                <w:szCs w:val="21"/>
              </w:rPr>
              <w:t>≧1</w:t>
            </w:r>
            <w:r>
              <w:rPr>
                <w:rFonts w:asciiTheme="minorEastAsia" w:hAnsiTheme="minorEastAsia" w:eastAsiaTheme="minorEastAsia"/>
                <w:color w:val="000000" w:themeColor="text1"/>
                <w:sz w:val="21"/>
                <w:szCs w:val="21"/>
              </w:rPr>
              <w:t>个</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COM接口</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1；</w:t>
            </w:r>
          </w:p>
          <w:p>
            <w:pPr>
              <w:pStyle w:val="52"/>
              <w:widowControl w:val="0"/>
              <w:numPr>
                <w:ilvl w:val="0"/>
                <w:numId w:val="11"/>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显卡：</w:t>
            </w:r>
            <w:r>
              <w:rPr>
                <w:rFonts w:hint="eastAsia" w:asciiTheme="minorEastAsia" w:hAnsiTheme="minorEastAsia" w:eastAsiaTheme="minorEastAsia"/>
                <w:color w:val="000000" w:themeColor="text1"/>
                <w:sz w:val="21"/>
                <w:szCs w:val="21"/>
              </w:rPr>
              <w:t>不低于配置：</w:t>
            </w:r>
            <w:r>
              <w:rPr>
                <w:rFonts w:asciiTheme="minorEastAsia" w:hAnsiTheme="minorEastAsia" w:eastAsiaTheme="minorEastAsia"/>
                <w:color w:val="000000" w:themeColor="text1"/>
                <w:sz w:val="21"/>
                <w:szCs w:val="21"/>
              </w:rPr>
              <w:t>显存容量为独立2GB</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显示芯片为NVIDIA GT730；</w:t>
            </w:r>
          </w:p>
          <w:p>
            <w:pPr>
              <w:pStyle w:val="52"/>
              <w:widowControl w:val="0"/>
              <w:numPr>
                <w:ilvl w:val="0"/>
                <w:numId w:val="11"/>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网卡：自适应100Mbps/1000Mbps以太网；</w:t>
            </w:r>
          </w:p>
          <w:p>
            <w:pPr>
              <w:pStyle w:val="52"/>
              <w:widowControl w:val="0"/>
              <w:numPr>
                <w:ilvl w:val="0"/>
                <w:numId w:val="11"/>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配无线键盘、鼠标一套；</w:t>
            </w:r>
          </w:p>
          <w:p>
            <w:pPr>
              <w:pStyle w:val="52"/>
              <w:widowControl w:val="0"/>
              <w:numPr>
                <w:ilvl w:val="0"/>
                <w:numId w:val="11"/>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电脑形态：主机+显示器（24英寸）；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ind w:firstLine="201" w:firstLineChars="100"/>
              <w:jc w:val="left"/>
              <w:rPr>
                <w:rFonts w:eastAsia="宋体" w:cs="Times New Roman" w:asciiTheme="minorEastAsia" w:hAnsiTheme="minorEastAsia"/>
                <w:color w:val="000000" w:themeColor="text1"/>
                <w:kern w:val="0"/>
                <w:sz w:val="21"/>
                <w:szCs w:val="21"/>
                <w:lang w:val="es-AR" w:bidi="ne-NP"/>
              </w:rPr>
            </w:pPr>
          </w:p>
          <w:p>
            <w:pPr>
              <w:ind w:firstLine="201" w:firstLineChars="100"/>
              <w:jc w:val="left"/>
              <w:rPr>
                <w:rFonts w:eastAsia="宋体" w:cs="Times New Roman" w:asciiTheme="minorEastAsia" w:hAnsiTheme="minorEastAsia"/>
                <w:color w:val="000000" w:themeColor="text1"/>
                <w:kern w:val="0"/>
                <w:sz w:val="21"/>
                <w:szCs w:val="21"/>
                <w:lang w:val="es-AR" w:bidi="ne-NP"/>
              </w:rPr>
            </w:pPr>
          </w:p>
          <w:p>
            <w:pPr>
              <w:ind w:firstLine="201" w:firstLineChars="100"/>
              <w:jc w:val="left"/>
              <w:rPr>
                <w:rFonts w:eastAsia="宋体" w:cs="Times New Roman" w:asciiTheme="minorEastAsia" w:hAnsiTheme="minorEastAsia"/>
                <w:color w:val="000000" w:themeColor="text1"/>
                <w:kern w:val="0"/>
                <w:sz w:val="21"/>
                <w:szCs w:val="21"/>
                <w:lang w:val="es-AR" w:bidi="ne-NP"/>
              </w:rPr>
            </w:pPr>
            <w:r>
              <w:rPr>
                <w:rFonts w:hint="eastAsia" w:eastAsia="宋体" w:cs="Times New Roman" w:asciiTheme="minorEastAsia" w:hAnsiTheme="minorEastAsia"/>
                <w:color w:val="000000" w:themeColor="text1"/>
                <w:kern w:val="0"/>
                <w:sz w:val="21"/>
                <w:szCs w:val="21"/>
                <w:lang w:val="es-AR" w:bidi="ne-NP"/>
              </w:rPr>
              <w:t>8</w:t>
            </w:r>
          </w:p>
        </w:tc>
        <w:tc>
          <w:tcPr>
            <w:tcW w:w="2048" w:type="dxa"/>
          </w:tcPr>
          <w:p>
            <w:pPr>
              <w:jc w:val="left"/>
              <w:rPr>
                <w:rFonts w:eastAsia="宋体" w:cs="Times New Roman" w:asciiTheme="minorEastAsia" w:hAnsiTheme="minorEastAsia"/>
                <w:color w:val="000000" w:themeColor="text1"/>
                <w:kern w:val="0"/>
                <w:sz w:val="21"/>
                <w:szCs w:val="21"/>
              </w:rPr>
            </w:pPr>
          </w:p>
          <w:p>
            <w:pPr>
              <w:jc w:val="left"/>
              <w:rPr>
                <w:rFonts w:eastAsia="宋体" w:cs="Times New Roman" w:asciiTheme="minorEastAsia" w:hAnsiTheme="minorEastAsia"/>
                <w:color w:val="000000" w:themeColor="text1"/>
                <w:kern w:val="0"/>
                <w:sz w:val="21"/>
                <w:szCs w:val="21"/>
              </w:rPr>
            </w:pPr>
          </w:p>
          <w:p>
            <w:pPr>
              <w:jc w:val="left"/>
              <w:rPr>
                <w:rFonts w:eastAsia="宋体" w:cs="Times New Roman" w:asciiTheme="minorEastAsia" w:hAnsiTheme="minorEastAsia"/>
                <w:color w:val="000000" w:themeColor="text1"/>
                <w:kern w:val="0"/>
                <w:sz w:val="21"/>
                <w:szCs w:val="21"/>
              </w:rPr>
            </w:pPr>
          </w:p>
          <w:p>
            <w:pPr>
              <w:jc w:val="left"/>
              <w:rPr>
                <w:rFonts w:eastAsia="宋体" w:cs="Times New Roman" w:asciiTheme="minorEastAsia" w:hAnsiTheme="minorEastAsia"/>
                <w:color w:val="000000" w:themeColor="text1"/>
                <w:kern w:val="0"/>
                <w:sz w:val="21"/>
                <w:szCs w:val="21"/>
              </w:rPr>
            </w:pPr>
          </w:p>
          <w:p>
            <w:pPr>
              <w:jc w:val="left"/>
              <w:rPr>
                <w:rFonts w:eastAsia="宋体" w:cs="Times New Roman" w:asciiTheme="minorEastAsia" w:hAnsiTheme="minorEastAsia"/>
                <w:color w:val="000000" w:themeColor="text1"/>
                <w:kern w:val="0"/>
                <w:sz w:val="21"/>
                <w:szCs w:val="21"/>
              </w:rPr>
            </w:pPr>
          </w:p>
          <w:p>
            <w:pPr>
              <w:jc w:val="left"/>
              <w:rPr>
                <w:rFonts w:eastAsia="宋体" w:cs="Times New Roman" w:asciiTheme="minorEastAsia" w:hAnsiTheme="minorEastAsia"/>
                <w:color w:val="000000" w:themeColor="text1"/>
                <w:kern w:val="0"/>
                <w:sz w:val="21"/>
                <w:szCs w:val="21"/>
              </w:rPr>
            </w:pPr>
          </w:p>
          <w:p>
            <w:pPr>
              <w:jc w:val="left"/>
              <w:rPr>
                <w:rFonts w:eastAsia="宋体" w:cs="Times New Roman" w:asciiTheme="minorEastAsia" w:hAnsiTheme="minorEastAsia"/>
                <w:color w:val="000000" w:themeColor="text1"/>
                <w:kern w:val="0"/>
                <w:sz w:val="21"/>
                <w:szCs w:val="21"/>
              </w:rPr>
            </w:pPr>
            <w:r>
              <w:rPr>
                <w:rFonts w:hint="eastAsia" w:eastAsia="宋体" w:cs="Times New Roman" w:asciiTheme="minorEastAsia" w:hAnsiTheme="minorEastAsia"/>
                <w:color w:val="000000" w:themeColor="text1"/>
                <w:kern w:val="0"/>
                <w:sz w:val="21"/>
                <w:szCs w:val="21"/>
              </w:rPr>
              <w:t>笔记本电脑</w:t>
            </w:r>
          </w:p>
        </w:tc>
        <w:tc>
          <w:tcPr>
            <w:tcW w:w="5890" w:type="dxa"/>
          </w:tcPr>
          <w:p>
            <w:pPr>
              <w:pStyle w:val="52"/>
              <w:widowControl w:val="0"/>
              <w:numPr>
                <w:ilvl w:val="0"/>
                <w:numId w:val="12"/>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操作系统</w:t>
            </w:r>
            <w:r>
              <w:rPr>
                <w:rFonts w:asciiTheme="minorEastAsia" w:hAnsiTheme="minorEastAsia" w:eastAsiaTheme="minorEastAsia"/>
                <w:color w:val="000000" w:themeColor="text1"/>
                <w:sz w:val="21"/>
                <w:szCs w:val="21"/>
              </w:rPr>
              <w:t>：win10 64位</w:t>
            </w:r>
            <w:r>
              <w:rPr>
                <w:rFonts w:hint="eastAsia" w:asciiTheme="minorEastAsia" w:hAnsiTheme="minorEastAsia" w:eastAsiaTheme="minorEastAsia"/>
                <w:color w:val="000000" w:themeColor="text1"/>
                <w:sz w:val="21"/>
                <w:szCs w:val="21"/>
              </w:rPr>
              <w:t>正版</w:t>
            </w:r>
            <w:r>
              <w:rPr>
                <w:rFonts w:asciiTheme="minorEastAsia" w:hAnsiTheme="minorEastAsia" w:eastAsiaTheme="minorEastAsia"/>
                <w:color w:val="000000" w:themeColor="text1"/>
                <w:sz w:val="21"/>
                <w:szCs w:val="21"/>
              </w:rPr>
              <w:t>操作系统</w:t>
            </w:r>
            <w:r>
              <w:rPr>
                <w:rFonts w:hint="eastAsia" w:asciiTheme="minorEastAsia" w:hAnsiTheme="minorEastAsia" w:eastAsiaTheme="minorEastAsia"/>
                <w:color w:val="000000" w:themeColor="text1"/>
                <w:sz w:val="21"/>
                <w:szCs w:val="21"/>
              </w:rPr>
              <w:t>且提供正版office软件</w:t>
            </w:r>
            <w:r>
              <w:rPr>
                <w:rFonts w:asciiTheme="minorEastAsia" w:hAnsiTheme="minorEastAsia" w:eastAsiaTheme="minorEastAsia"/>
                <w:color w:val="000000" w:themeColor="text1"/>
                <w:sz w:val="21"/>
                <w:szCs w:val="21"/>
              </w:rPr>
              <w:t>；</w:t>
            </w:r>
          </w:p>
          <w:p>
            <w:pPr>
              <w:pStyle w:val="52"/>
              <w:widowControl w:val="0"/>
              <w:numPr>
                <w:ilvl w:val="0"/>
                <w:numId w:val="12"/>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sz w:val="21"/>
                <w:szCs w:val="21"/>
              </w:rPr>
              <w:t>★</w:t>
            </w:r>
            <w:r>
              <w:rPr>
                <w:rFonts w:hint="eastAsia" w:asciiTheme="minorEastAsia" w:hAnsiTheme="minorEastAsia" w:eastAsiaTheme="minorEastAsia"/>
                <w:color w:val="000000" w:themeColor="text1"/>
                <w:sz w:val="21"/>
                <w:szCs w:val="21"/>
              </w:rPr>
              <w:t>CPU</w:t>
            </w:r>
            <w:r>
              <w:rPr>
                <w:rFonts w:asciiTheme="minorEastAsia" w:hAnsiTheme="minorEastAsia" w:eastAsiaTheme="minorEastAsia"/>
                <w:color w:val="000000" w:themeColor="text1"/>
                <w:sz w:val="21"/>
                <w:szCs w:val="21"/>
              </w:rPr>
              <w:t>：第十代智能英特尔酷睿i5处理器</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四核；</w:t>
            </w:r>
          </w:p>
          <w:p>
            <w:pPr>
              <w:pStyle w:val="52"/>
              <w:widowControl w:val="0"/>
              <w:numPr>
                <w:ilvl w:val="0"/>
                <w:numId w:val="12"/>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内存：内存类型DDR4</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内存容量</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16G；</w:t>
            </w:r>
          </w:p>
          <w:p>
            <w:pPr>
              <w:pStyle w:val="52"/>
              <w:widowControl w:val="0"/>
              <w:numPr>
                <w:ilvl w:val="0"/>
                <w:numId w:val="12"/>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硬盘：</w:t>
            </w:r>
            <w:r>
              <w:rPr>
                <w:rFonts w:asciiTheme="minorEastAsia" w:hAnsiTheme="minorEastAsia" w:eastAsiaTheme="minorEastAsia"/>
                <w:color w:val="000000" w:themeColor="text1"/>
                <w:sz w:val="21"/>
                <w:szCs w:val="21"/>
              </w:rPr>
              <w:t>固态硬盘（SSD）</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512GB</w:t>
            </w:r>
            <w:r>
              <w:rPr>
                <w:rFonts w:hint="eastAsia" w:asciiTheme="minorEastAsia" w:hAnsiTheme="minorEastAsia" w:eastAsiaTheme="minorEastAsia"/>
                <w:color w:val="000000" w:themeColor="text1"/>
                <w:sz w:val="21"/>
                <w:szCs w:val="21"/>
              </w:rPr>
              <w:t>；</w:t>
            </w:r>
          </w:p>
          <w:p>
            <w:pPr>
              <w:pStyle w:val="52"/>
              <w:widowControl w:val="0"/>
              <w:numPr>
                <w:ilvl w:val="0"/>
                <w:numId w:val="12"/>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接</w:t>
            </w:r>
            <w:r>
              <w:rPr>
                <w:rFonts w:asciiTheme="minorEastAsia" w:hAnsiTheme="minorEastAsia" w:eastAsiaTheme="minorEastAsia"/>
                <w:color w:val="000000" w:themeColor="text1"/>
                <w:sz w:val="21"/>
                <w:szCs w:val="21"/>
              </w:rPr>
              <w:t>口：USB2.0口</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2 个</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USB3.0口</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1个；</w:t>
            </w:r>
          </w:p>
          <w:p>
            <w:pPr>
              <w:pStyle w:val="52"/>
              <w:widowControl w:val="0"/>
              <w:numPr>
                <w:ilvl w:val="0"/>
                <w:numId w:val="12"/>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显卡：独立显卡；</w:t>
            </w:r>
          </w:p>
          <w:p>
            <w:pPr>
              <w:pStyle w:val="52"/>
              <w:widowControl w:val="0"/>
              <w:numPr>
                <w:ilvl w:val="0"/>
                <w:numId w:val="12"/>
              </w:numPr>
              <w:adjustRightInd/>
              <w:snapToGrid/>
              <w:spacing w:after="0"/>
              <w:ind w:firstLineChars="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配置前置</w:t>
            </w:r>
            <w:r>
              <w:rPr>
                <w:rFonts w:asciiTheme="minorEastAsia" w:hAnsiTheme="minorEastAsia" w:eastAsiaTheme="minorEastAsia"/>
                <w:color w:val="000000" w:themeColor="text1"/>
                <w:sz w:val="21"/>
                <w:szCs w:val="21"/>
              </w:rPr>
              <w:t>摄像头≥100万像素；</w:t>
            </w:r>
          </w:p>
          <w:p>
            <w:pPr>
              <w:pStyle w:val="52"/>
              <w:widowControl w:val="0"/>
              <w:numPr>
                <w:ilvl w:val="0"/>
                <w:numId w:val="12"/>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电源：续航时间</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1</w:t>
            </w:r>
            <w:r>
              <w:rPr>
                <w:rFonts w:hint="eastAsia" w:asciiTheme="minorEastAsia" w:hAnsiTheme="minorEastAsia" w:eastAsiaTheme="minorEastAsia"/>
                <w:color w:val="000000" w:themeColor="text1"/>
                <w:sz w:val="21"/>
                <w:szCs w:val="21"/>
              </w:rPr>
              <w:t>2</w:t>
            </w:r>
            <w:r>
              <w:rPr>
                <w:rFonts w:asciiTheme="minorEastAsia" w:hAnsiTheme="minorEastAsia" w:eastAsiaTheme="minorEastAsia"/>
                <w:color w:val="000000" w:themeColor="text1"/>
                <w:sz w:val="21"/>
                <w:szCs w:val="21"/>
              </w:rPr>
              <w:t>小时</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65W AC适配器</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支持快充；</w:t>
            </w:r>
          </w:p>
          <w:p>
            <w:pPr>
              <w:pStyle w:val="52"/>
              <w:widowControl w:val="0"/>
              <w:numPr>
                <w:ilvl w:val="0"/>
                <w:numId w:val="12"/>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显示器：屏幕类型IPS</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物理分辨率</w:t>
            </w:r>
            <w:r>
              <w:rPr>
                <w:rFonts w:hint="eastAsia" w:asciiTheme="minorEastAsia" w:hAnsiTheme="minorEastAsia" w:eastAsiaTheme="minorEastAsia"/>
                <w:color w:val="000000" w:themeColor="text1"/>
                <w:sz w:val="21"/>
                <w:szCs w:val="21"/>
              </w:rPr>
              <w:t>≧</w:t>
            </w:r>
            <w:r>
              <w:rPr>
                <w:rFonts w:asciiTheme="minorEastAsia" w:hAnsiTheme="minorEastAsia" w:eastAsiaTheme="minorEastAsia"/>
                <w:color w:val="000000" w:themeColor="text1"/>
                <w:sz w:val="21"/>
                <w:szCs w:val="21"/>
              </w:rPr>
              <w:t>1920×1080</w:t>
            </w:r>
            <w:r>
              <w:rPr>
                <w:rFonts w:hint="eastAsia" w:asciiTheme="minorEastAsia" w:hAnsiTheme="minorEastAsia" w:eastAsiaTheme="minorEastAsia"/>
                <w:color w:val="000000" w:themeColor="text1"/>
                <w:sz w:val="21"/>
                <w:szCs w:val="21"/>
              </w:rPr>
              <w:t>，14英寸，</w:t>
            </w:r>
            <w:r>
              <w:rPr>
                <w:rFonts w:asciiTheme="minorEastAsia" w:hAnsiTheme="minorEastAsia" w:eastAsiaTheme="minorEastAsia"/>
                <w:color w:val="000000" w:themeColor="text1"/>
                <w:sz w:val="21"/>
                <w:szCs w:val="21"/>
              </w:rPr>
              <w:t>宽屏显示比例16：9；</w:t>
            </w:r>
          </w:p>
          <w:p>
            <w:pPr>
              <w:pStyle w:val="52"/>
              <w:widowControl w:val="0"/>
              <w:numPr>
                <w:ilvl w:val="0"/>
                <w:numId w:val="12"/>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配置含蓝牙鼠标；</w:t>
            </w:r>
          </w:p>
          <w:p>
            <w:pPr>
              <w:pStyle w:val="52"/>
              <w:widowControl w:val="0"/>
              <w:numPr>
                <w:ilvl w:val="0"/>
                <w:numId w:val="12"/>
              </w:numPr>
              <w:adjustRightInd/>
              <w:snapToGrid/>
              <w:spacing w:after="0"/>
              <w:ind w:firstLineChars="0"/>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配置含八合一Type-C扩展坞。（USB3.0接口*2；HDMI接口、SD卡槽、网口；网卡：千兆以太网；读卡槽支持SD、TF卡读取；支持PD快充；适用于Type-C接口的系列笔记本、手机；）</w:t>
            </w:r>
          </w:p>
        </w:tc>
      </w:tr>
    </w:tbl>
    <w:p>
      <w:pPr>
        <w:rPr>
          <w:rFonts w:ascii="黑体" w:hAnsi="黑体" w:eastAsia="黑体" w:cs="Times New Roman"/>
          <w:kern w:val="0"/>
          <w:sz w:val="32"/>
          <w:szCs w:val="32"/>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 xml:space="preserve">，包括制造商公开发布的资料（含制造商出具的产品规格表或检测机构出具的检测报告）。  </w:t>
      </w: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Dotum">
    <w:panose1 w:val="020B0600000101010101"/>
    <w:charset w:val="81"/>
    <w:family w:val="swiss"/>
    <w:pitch w:val="default"/>
    <w:sig w:usb0="B00002AF" w:usb1="69D77CFB" w:usb2="00000030" w:usb3="00000000" w:csb0="4008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3</w:t>
    </w:r>
    <w:r>
      <w:rPr>
        <w:rStyle w:val="21"/>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5</w:t>
    </w:r>
    <w:r>
      <w:rPr>
        <w:rStyle w:val="21"/>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64</w:t>
    </w:r>
    <w:r>
      <w:rPr>
        <w:rStyle w:val="21"/>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1B8DF"/>
    <w:multiLevelType w:val="singleLevel"/>
    <w:tmpl w:val="9681B8DF"/>
    <w:lvl w:ilvl="0" w:tentative="0">
      <w:start w:val="1"/>
      <w:numFmt w:val="decimal"/>
      <w:suff w:val="nothing"/>
      <w:lvlText w:val="%1．"/>
      <w:lvlJc w:val="left"/>
      <w:pPr>
        <w:ind w:left="0" w:firstLine="400"/>
      </w:pPr>
      <w:rPr>
        <w:rFonts w:hint="default"/>
      </w:rPr>
    </w:lvl>
  </w:abstractNum>
  <w:abstractNum w:abstractNumId="1">
    <w:nsid w:val="C595BF52"/>
    <w:multiLevelType w:val="singleLevel"/>
    <w:tmpl w:val="C595BF52"/>
    <w:lvl w:ilvl="0" w:tentative="0">
      <w:start w:val="1"/>
      <w:numFmt w:val="decimal"/>
      <w:suff w:val="nothing"/>
      <w:lvlText w:val="%1．"/>
      <w:lvlJc w:val="left"/>
      <w:pPr>
        <w:ind w:left="0" w:firstLine="400"/>
      </w:pPr>
      <w:rPr>
        <w:rFonts w:hint="default"/>
      </w:rPr>
    </w:lvl>
  </w:abstractNum>
  <w:abstractNum w:abstractNumId="2">
    <w:nsid w:val="FBD06661"/>
    <w:multiLevelType w:val="singleLevel"/>
    <w:tmpl w:val="FBD06661"/>
    <w:lvl w:ilvl="0" w:tentative="0">
      <w:start w:val="1"/>
      <w:numFmt w:val="decimal"/>
      <w:suff w:val="nothing"/>
      <w:lvlText w:val="%1．"/>
      <w:lvlJc w:val="left"/>
      <w:pPr>
        <w:ind w:left="0" w:firstLine="400"/>
      </w:pPr>
      <w:rPr>
        <w:rFonts w:hint="default"/>
      </w:rPr>
    </w:lvl>
  </w:abstractNum>
  <w:abstractNum w:abstractNumId="3">
    <w:nsid w:val="00000014"/>
    <w:multiLevelType w:val="multilevel"/>
    <w:tmpl w:val="0000001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1F8020ED"/>
    <w:multiLevelType w:val="singleLevel"/>
    <w:tmpl w:val="1F8020ED"/>
    <w:lvl w:ilvl="0" w:tentative="0">
      <w:start w:val="1"/>
      <w:numFmt w:val="decimal"/>
      <w:suff w:val="nothing"/>
      <w:lvlText w:val="%1．"/>
      <w:lvlJc w:val="left"/>
      <w:pPr>
        <w:ind w:left="0" w:firstLine="400"/>
      </w:pPr>
      <w:rPr>
        <w:rFonts w:hint="default"/>
      </w:rPr>
    </w:lvl>
  </w:abstractNum>
  <w:abstractNum w:abstractNumId="5">
    <w:nsid w:val="200BB804"/>
    <w:multiLevelType w:val="singleLevel"/>
    <w:tmpl w:val="200BB804"/>
    <w:lvl w:ilvl="0" w:tentative="0">
      <w:start w:val="1"/>
      <w:numFmt w:val="decimal"/>
      <w:suff w:val="nothing"/>
      <w:lvlText w:val="%1．"/>
      <w:lvlJc w:val="left"/>
      <w:pPr>
        <w:ind w:left="0" w:firstLine="400"/>
      </w:pPr>
      <w:rPr>
        <w:rFonts w:hint="default"/>
      </w:rPr>
    </w:lvl>
  </w:abstractNum>
  <w:abstractNum w:abstractNumId="6">
    <w:nsid w:val="2C695987"/>
    <w:multiLevelType w:val="singleLevel"/>
    <w:tmpl w:val="2C695987"/>
    <w:lvl w:ilvl="0" w:tentative="0">
      <w:start w:val="1"/>
      <w:numFmt w:val="decimal"/>
      <w:suff w:val="nothing"/>
      <w:lvlText w:val="%1．"/>
      <w:lvlJc w:val="left"/>
      <w:pPr>
        <w:ind w:left="0" w:firstLine="400"/>
      </w:pPr>
      <w:rPr>
        <w:rFonts w:hint="default"/>
      </w:rPr>
    </w:lvl>
  </w:abstractNum>
  <w:abstractNum w:abstractNumId="7">
    <w:nsid w:val="37AA6707"/>
    <w:multiLevelType w:val="singleLevel"/>
    <w:tmpl w:val="37AA6707"/>
    <w:lvl w:ilvl="0" w:tentative="0">
      <w:start w:val="1"/>
      <w:numFmt w:val="decimal"/>
      <w:suff w:val="nothing"/>
      <w:lvlText w:val="%1．"/>
      <w:lvlJc w:val="left"/>
      <w:pPr>
        <w:ind w:left="0" w:firstLine="400"/>
      </w:pPr>
      <w:rPr>
        <w:rFonts w:hint="default"/>
      </w:rPr>
    </w:lvl>
  </w:abstractNum>
  <w:abstractNum w:abstractNumId="8">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9">
    <w:nsid w:val="5E1874BB"/>
    <w:multiLevelType w:val="singleLevel"/>
    <w:tmpl w:val="5E1874BB"/>
    <w:lvl w:ilvl="0" w:tentative="0">
      <w:start w:val="1"/>
      <w:numFmt w:val="decimal"/>
      <w:suff w:val="nothing"/>
      <w:lvlText w:val="%1．"/>
      <w:lvlJc w:val="left"/>
      <w:pPr>
        <w:ind w:left="0" w:firstLine="400"/>
      </w:pPr>
      <w:rPr>
        <w:rFonts w:hint="default"/>
      </w:rPr>
    </w:lvl>
  </w:abstractNum>
  <w:abstractNum w:abstractNumId="10">
    <w:nsid w:val="6DEC94FC"/>
    <w:multiLevelType w:val="singleLevel"/>
    <w:tmpl w:val="6DEC94FC"/>
    <w:lvl w:ilvl="0" w:tentative="0">
      <w:start w:val="1"/>
      <w:numFmt w:val="decimal"/>
      <w:suff w:val="nothing"/>
      <w:lvlText w:val="%1．"/>
      <w:lvlJc w:val="left"/>
      <w:pPr>
        <w:ind w:left="0" w:firstLine="400"/>
      </w:pPr>
      <w:rPr>
        <w:rFonts w:hint="default"/>
      </w:rPr>
    </w:lvl>
  </w:abstractNum>
  <w:abstractNum w:abstractNumId="11">
    <w:nsid w:val="72072D8E"/>
    <w:multiLevelType w:val="singleLevel"/>
    <w:tmpl w:val="72072D8E"/>
    <w:lvl w:ilvl="0" w:tentative="0">
      <w:start w:val="1"/>
      <w:numFmt w:val="decimal"/>
      <w:suff w:val="nothing"/>
      <w:lvlText w:val="%1．"/>
      <w:lvlJc w:val="left"/>
      <w:pPr>
        <w:ind w:left="0" w:firstLine="400"/>
      </w:pPr>
      <w:rPr>
        <w:rFonts w:hint="default"/>
      </w:rPr>
    </w:lvl>
  </w:abstractNum>
  <w:num w:numId="1">
    <w:abstractNumId w:val="8"/>
  </w:num>
  <w:num w:numId="2">
    <w:abstractNumId w:val="3"/>
  </w:num>
  <w:num w:numId="3">
    <w:abstractNumId w:val="9"/>
  </w:num>
  <w:num w:numId="4">
    <w:abstractNumId w:val="0"/>
  </w:num>
  <w:num w:numId="5">
    <w:abstractNumId w:val="11"/>
  </w:num>
  <w:num w:numId="6">
    <w:abstractNumId w:val="10"/>
  </w:num>
  <w:num w:numId="7">
    <w:abstractNumId w:val="5"/>
  </w:num>
  <w:num w:numId="8">
    <w:abstractNumId w:val="2"/>
  </w:num>
  <w:num w:numId="9">
    <w:abstractNumId w:val="1"/>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7"/>
  <w:drawingGridVerticalSpacing w:val="2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1371"/>
    <w:rsid w:val="000E203F"/>
    <w:rsid w:val="000E24CF"/>
    <w:rsid w:val="000E58DC"/>
    <w:rsid w:val="000F19EE"/>
    <w:rsid w:val="000F68D1"/>
    <w:rsid w:val="00101A4E"/>
    <w:rsid w:val="001146EE"/>
    <w:rsid w:val="0011544D"/>
    <w:rsid w:val="001175A3"/>
    <w:rsid w:val="00126E2A"/>
    <w:rsid w:val="0012774A"/>
    <w:rsid w:val="00134871"/>
    <w:rsid w:val="00140433"/>
    <w:rsid w:val="00141DF3"/>
    <w:rsid w:val="00146B8C"/>
    <w:rsid w:val="00151352"/>
    <w:rsid w:val="00151D52"/>
    <w:rsid w:val="00153547"/>
    <w:rsid w:val="00154A37"/>
    <w:rsid w:val="00156746"/>
    <w:rsid w:val="00162BA1"/>
    <w:rsid w:val="00165CC1"/>
    <w:rsid w:val="00167E17"/>
    <w:rsid w:val="00172231"/>
    <w:rsid w:val="00174EC9"/>
    <w:rsid w:val="00181015"/>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65C6"/>
    <w:rsid w:val="002B6E50"/>
    <w:rsid w:val="002C0F66"/>
    <w:rsid w:val="002C1147"/>
    <w:rsid w:val="002C5280"/>
    <w:rsid w:val="002C5CFF"/>
    <w:rsid w:val="002C6A11"/>
    <w:rsid w:val="002D0387"/>
    <w:rsid w:val="002D12A7"/>
    <w:rsid w:val="002D331A"/>
    <w:rsid w:val="002D4DA1"/>
    <w:rsid w:val="002D6D42"/>
    <w:rsid w:val="002E3D9F"/>
    <w:rsid w:val="002F1927"/>
    <w:rsid w:val="002F6C52"/>
    <w:rsid w:val="003027C7"/>
    <w:rsid w:val="00303E33"/>
    <w:rsid w:val="0030431C"/>
    <w:rsid w:val="00320218"/>
    <w:rsid w:val="003222A0"/>
    <w:rsid w:val="00326B80"/>
    <w:rsid w:val="00327E47"/>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2C18"/>
    <w:rsid w:val="004E35E3"/>
    <w:rsid w:val="004E6AEB"/>
    <w:rsid w:val="004F142D"/>
    <w:rsid w:val="004F5E12"/>
    <w:rsid w:val="00503A7C"/>
    <w:rsid w:val="00511818"/>
    <w:rsid w:val="005222C3"/>
    <w:rsid w:val="00522CA7"/>
    <w:rsid w:val="00531671"/>
    <w:rsid w:val="00532B1E"/>
    <w:rsid w:val="00533850"/>
    <w:rsid w:val="00534859"/>
    <w:rsid w:val="0054477B"/>
    <w:rsid w:val="00551FC2"/>
    <w:rsid w:val="00554F2D"/>
    <w:rsid w:val="00560BBB"/>
    <w:rsid w:val="00563E2F"/>
    <w:rsid w:val="00564319"/>
    <w:rsid w:val="00564B59"/>
    <w:rsid w:val="00576044"/>
    <w:rsid w:val="00576112"/>
    <w:rsid w:val="00577DD4"/>
    <w:rsid w:val="00584A1E"/>
    <w:rsid w:val="00585142"/>
    <w:rsid w:val="00592C5C"/>
    <w:rsid w:val="005A24EB"/>
    <w:rsid w:val="005A29A0"/>
    <w:rsid w:val="005B13C9"/>
    <w:rsid w:val="005B382F"/>
    <w:rsid w:val="005B5235"/>
    <w:rsid w:val="005C50D9"/>
    <w:rsid w:val="005C5539"/>
    <w:rsid w:val="005D1458"/>
    <w:rsid w:val="005D5EDA"/>
    <w:rsid w:val="005E2274"/>
    <w:rsid w:val="005E6410"/>
    <w:rsid w:val="005F2C28"/>
    <w:rsid w:val="005F3E10"/>
    <w:rsid w:val="00601051"/>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1A6D"/>
    <w:rsid w:val="006725A4"/>
    <w:rsid w:val="00677854"/>
    <w:rsid w:val="006846E0"/>
    <w:rsid w:val="00692DE9"/>
    <w:rsid w:val="00696F01"/>
    <w:rsid w:val="006979A0"/>
    <w:rsid w:val="006A14FA"/>
    <w:rsid w:val="006A7511"/>
    <w:rsid w:val="006B13AA"/>
    <w:rsid w:val="006B2818"/>
    <w:rsid w:val="006C1884"/>
    <w:rsid w:val="006C1CF4"/>
    <w:rsid w:val="006C6CCF"/>
    <w:rsid w:val="006C6D5D"/>
    <w:rsid w:val="006D12D7"/>
    <w:rsid w:val="006D2D2E"/>
    <w:rsid w:val="006D6637"/>
    <w:rsid w:val="006E2984"/>
    <w:rsid w:val="006E5F9F"/>
    <w:rsid w:val="006E67F2"/>
    <w:rsid w:val="006F15B6"/>
    <w:rsid w:val="006F181B"/>
    <w:rsid w:val="006F39C1"/>
    <w:rsid w:val="00707914"/>
    <w:rsid w:val="00707FEE"/>
    <w:rsid w:val="007122C0"/>
    <w:rsid w:val="00717C01"/>
    <w:rsid w:val="007264A9"/>
    <w:rsid w:val="0073357E"/>
    <w:rsid w:val="0074178F"/>
    <w:rsid w:val="007500FA"/>
    <w:rsid w:val="00756021"/>
    <w:rsid w:val="0077103A"/>
    <w:rsid w:val="007772F0"/>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477D"/>
    <w:rsid w:val="0084720F"/>
    <w:rsid w:val="00853C33"/>
    <w:rsid w:val="00856888"/>
    <w:rsid w:val="008642CB"/>
    <w:rsid w:val="00864CD8"/>
    <w:rsid w:val="008729B3"/>
    <w:rsid w:val="00880DAF"/>
    <w:rsid w:val="00882004"/>
    <w:rsid w:val="008A52B6"/>
    <w:rsid w:val="008B6016"/>
    <w:rsid w:val="008D583C"/>
    <w:rsid w:val="008E0677"/>
    <w:rsid w:val="008E3548"/>
    <w:rsid w:val="008E43CB"/>
    <w:rsid w:val="008F2ED3"/>
    <w:rsid w:val="008F3C8F"/>
    <w:rsid w:val="008F3D33"/>
    <w:rsid w:val="008F4528"/>
    <w:rsid w:val="008F7856"/>
    <w:rsid w:val="0090127B"/>
    <w:rsid w:val="00903989"/>
    <w:rsid w:val="00916D12"/>
    <w:rsid w:val="009253F7"/>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15230"/>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39F0"/>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E2F4E"/>
    <w:rsid w:val="00BE3CC1"/>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675CA"/>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1366D"/>
    <w:rsid w:val="00E20928"/>
    <w:rsid w:val="00E21FC5"/>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EE4466"/>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 w:val="6BCB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4"/>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5"/>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30"/>
    <w:qFormat/>
    <w:uiPriority w:val="0"/>
    <w:rPr>
      <w:rFonts w:ascii="Times New Roman" w:hAnsi="Times New Roman" w:eastAsia="宋体" w:cs="Times New Roman"/>
      <w:kern w:val="0"/>
      <w:szCs w:val="24"/>
    </w:rPr>
  </w:style>
  <w:style w:type="paragraph" w:styleId="7">
    <w:name w:val="Body Text Indent"/>
    <w:basedOn w:val="1"/>
    <w:link w:val="29"/>
    <w:qFormat/>
    <w:uiPriority w:val="0"/>
    <w:pPr>
      <w:ind w:firstLine="555"/>
    </w:pPr>
    <w:rPr>
      <w:rFonts w:ascii="Times New Roman" w:hAnsi="Times New Roman" w:eastAsia="宋体" w:cs="Times New Roman"/>
      <w:kern w:val="0"/>
      <w:sz w:val="24"/>
      <w:szCs w:val="24"/>
    </w:rPr>
  </w:style>
  <w:style w:type="paragraph" w:styleId="8">
    <w:name w:val="Plain Text"/>
    <w:basedOn w:val="1"/>
    <w:link w:val="36"/>
    <w:qFormat/>
    <w:uiPriority w:val="0"/>
    <w:rPr>
      <w:rFonts w:ascii="宋体" w:hAnsi="Courier New" w:eastAsia="宋体" w:cs="Courier New"/>
      <w:sz w:val="24"/>
      <w:szCs w:val="21"/>
    </w:rPr>
  </w:style>
  <w:style w:type="paragraph" w:styleId="9">
    <w:name w:val="Date"/>
    <w:basedOn w:val="1"/>
    <w:next w:val="1"/>
    <w:link w:val="48"/>
    <w:semiHidden/>
    <w:unhideWhenUsed/>
    <w:qFormat/>
    <w:uiPriority w:val="99"/>
    <w:pPr>
      <w:ind w:left="100" w:leftChars="2500"/>
    </w:pPr>
  </w:style>
  <w:style w:type="paragraph" w:styleId="10">
    <w:name w:val="Body Text Indent 2"/>
    <w:basedOn w:val="1"/>
    <w:link w:val="28"/>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7"/>
    <w:semiHidden/>
    <w:qFormat/>
    <w:uiPriority w:val="0"/>
    <w:rPr>
      <w:rFonts w:ascii="Times New Roman" w:hAnsi="Times New Roman" w:eastAsia="宋体" w:cs="Times New Roman"/>
      <w:kern w:val="0"/>
      <w:sz w:val="18"/>
      <w:szCs w:val="18"/>
    </w:rPr>
  </w:style>
  <w:style w:type="paragraph" w:styleId="12">
    <w:name w:val="footer"/>
    <w:basedOn w:val="1"/>
    <w:link w:val="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Body Text 2"/>
    <w:basedOn w:val="1"/>
    <w:link w:val="31"/>
    <w:qFormat/>
    <w:uiPriority w:val="0"/>
    <w:pPr>
      <w:jc w:val="center"/>
    </w:pPr>
    <w:rPr>
      <w:rFonts w:ascii="Times New Roman" w:hAnsi="Times New Roman" w:eastAsia="宋体" w:cs="Times New Roman"/>
      <w:kern w:val="0"/>
      <w:szCs w:val="24"/>
    </w:rPr>
  </w:style>
  <w:style w:type="paragraph" w:styleId="16">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17">
    <w:name w:val="index 1"/>
    <w:basedOn w:val="1"/>
    <w:next w:val="1"/>
    <w:semiHidden/>
    <w:qFormat/>
    <w:uiPriority w:val="0"/>
    <w:rPr>
      <w:rFonts w:ascii="Times New Roman" w:hAnsi="Times New Roman" w:eastAsia="宋体" w:cs="Times New Roman"/>
      <w:kern w:val="0"/>
      <w:sz w:val="24"/>
      <w:szCs w:val="24"/>
    </w:rPr>
  </w:style>
  <w:style w:type="table" w:styleId="19">
    <w:name w:val="Table Grid"/>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basedOn w:val="20"/>
    <w:qFormat/>
    <w:uiPriority w:val="0"/>
    <w:rPr>
      <w:rFonts w:cs="Times New Roman"/>
    </w:rPr>
  </w:style>
  <w:style w:type="character" w:styleId="22">
    <w:name w:val="Hyperlink"/>
    <w:basedOn w:val="20"/>
    <w:qFormat/>
    <w:uiPriority w:val="99"/>
    <w:rPr>
      <w:rFonts w:cs="Times New Roman"/>
      <w:color w:val="0000FF"/>
      <w:u w:val="single"/>
    </w:rPr>
  </w:style>
  <w:style w:type="character" w:customStyle="1" w:styleId="23">
    <w:name w:val="标题 1 Char"/>
    <w:basedOn w:val="20"/>
    <w:link w:val="2"/>
    <w:uiPriority w:val="0"/>
    <w:rPr>
      <w:rFonts w:ascii="Times New Roman" w:hAnsi="Times New Roman" w:eastAsia="宋体" w:cs="Times New Roman"/>
      <w:b/>
      <w:bCs/>
      <w:kern w:val="44"/>
      <w:sz w:val="44"/>
      <w:szCs w:val="44"/>
    </w:rPr>
  </w:style>
  <w:style w:type="character" w:customStyle="1" w:styleId="24">
    <w:name w:val="标题 2 Char"/>
    <w:basedOn w:val="20"/>
    <w:link w:val="3"/>
    <w:uiPriority w:val="0"/>
    <w:rPr>
      <w:rFonts w:ascii="Arial" w:hAnsi="Arial" w:eastAsia="黑体" w:cs="Times New Roman"/>
      <w:b/>
      <w:kern w:val="0"/>
      <w:sz w:val="32"/>
      <w:szCs w:val="20"/>
    </w:rPr>
  </w:style>
  <w:style w:type="character" w:customStyle="1" w:styleId="25">
    <w:name w:val="页眉 Char"/>
    <w:basedOn w:val="20"/>
    <w:link w:val="13"/>
    <w:qFormat/>
    <w:uiPriority w:val="0"/>
    <w:rPr>
      <w:rFonts w:ascii="Times New Roman" w:hAnsi="Times New Roman" w:eastAsia="宋体" w:cs="Times New Roman"/>
      <w:kern w:val="0"/>
      <w:sz w:val="18"/>
      <w:szCs w:val="18"/>
    </w:rPr>
  </w:style>
  <w:style w:type="character" w:customStyle="1" w:styleId="26">
    <w:name w:val="页脚 Char"/>
    <w:basedOn w:val="20"/>
    <w:link w:val="12"/>
    <w:qFormat/>
    <w:uiPriority w:val="0"/>
    <w:rPr>
      <w:rFonts w:ascii="Times New Roman" w:hAnsi="Times New Roman" w:eastAsia="宋体" w:cs="Times New Roman"/>
      <w:kern w:val="0"/>
      <w:sz w:val="18"/>
      <w:szCs w:val="18"/>
    </w:rPr>
  </w:style>
  <w:style w:type="paragraph" w:customStyle="1" w:styleId="27">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8">
    <w:name w:val="正文文本缩进 2 Char"/>
    <w:basedOn w:val="20"/>
    <w:link w:val="10"/>
    <w:qFormat/>
    <w:uiPriority w:val="0"/>
    <w:rPr>
      <w:rFonts w:ascii="Times New Roman" w:hAnsi="Times New Roman" w:eastAsia="宋体" w:cs="Times New Roman"/>
      <w:kern w:val="0"/>
      <w:sz w:val="24"/>
      <w:szCs w:val="24"/>
    </w:rPr>
  </w:style>
  <w:style w:type="character" w:customStyle="1" w:styleId="29">
    <w:name w:val="正文文本缩进 Char"/>
    <w:basedOn w:val="20"/>
    <w:link w:val="7"/>
    <w:qFormat/>
    <w:uiPriority w:val="0"/>
    <w:rPr>
      <w:rFonts w:ascii="Times New Roman" w:hAnsi="Times New Roman" w:eastAsia="宋体" w:cs="Times New Roman"/>
      <w:kern w:val="0"/>
      <w:sz w:val="24"/>
      <w:szCs w:val="24"/>
    </w:rPr>
  </w:style>
  <w:style w:type="character" w:customStyle="1" w:styleId="30">
    <w:name w:val="正文文本 Char"/>
    <w:basedOn w:val="20"/>
    <w:link w:val="6"/>
    <w:qFormat/>
    <w:uiPriority w:val="0"/>
    <w:rPr>
      <w:rFonts w:ascii="Times New Roman" w:hAnsi="Times New Roman" w:eastAsia="宋体" w:cs="Times New Roman"/>
      <w:kern w:val="0"/>
      <w:szCs w:val="24"/>
    </w:rPr>
  </w:style>
  <w:style w:type="character" w:customStyle="1" w:styleId="31">
    <w:name w:val="正文文本 2 Char"/>
    <w:basedOn w:val="20"/>
    <w:link w:val="15"/>
    <w:qFormat/>
    <w:uiPriority w:val="0"/>
    <w:rPr>
      <w:rFonts w:ascii="Times New Roman" w:hAnsi="Times New Roman" w:eastAsia="宋体" w:cs="Times New Roman"/>
      <w:kern w:val="0"/>
      <w:szCs w:val="24"/>
    </w:rPr>
  </w:style>
  <w:style w:type="paragraph" w:customStyle="1" w:styleId="32">
    <w:name w:val="样式1"/>
    <w:basedOn w:val="2"/>
    <w:qFormat/>
    <w:uiPriority w:val="0"/>
    <w:pPr>
      <w:spacing w:line="640" w:lineRule="exact"/>
      <w:jc w:val="center"/>
    </w:pPr>
    <w:rPr>
      <w:rFonts w:ascii="方正小标宋简体" w:hAnsi="华文中宋" w:eastAsia="方正小标宋简体"/>
      <w:b w:val="0"/>
    </w:rPr>
  </w:style>
  <w:style w:type="paragraph" w:customStyle="1" w:styleId="33">
    <w:name w:val="样式2"/>
    <w:basedOn w:val="2"/>
    <w:qFormat/>
    <w:uiPriority w:val="0"/>
    <w:pPr>
      <w:spacing w:line="640" w:lineRule="exact"/>
      <w:jc w:val="center"/>
    </w:pPr>
    <w:rPr>
      <w:rFonts w:ascii="方正小标宋简体" w:hAnsi="华文中宋" w:eastAsia="方正小标宋简体"/>
      <w:b w:val="0"/>
    </w:rPr>
  </w:style>
  <w:style w:type="paragraph" w:customStyle="1" w:styleId="34">
    <w:name w:val="样式3"/>
    <w:basedOn w:val="2"/>
    <w:qFormat/>
    <w:uiPriority w:val="0"/>
    <w:pPr>
      <w:spacing w:line="640" w:lineRule="exact"/>
      <w:jc w:val="center"/>
    </w:pPr>
    <w:rPr>
      <w:rFonts w:ascii="方正小标宋简体" w:hAnsi="华文中宋" w:eastAsia="方正小标宋简体"/>
      <w:b w:val="0"/>
    </w:rPr>
  </w:style>
  <w:style w:type="character" w:customStyle="1" w:styleId="35">
    <w:name w:val="文档结构图 Char"/>
    <w:basedOn w:val="20"/>
    <w:link w:val="5"/>
    <w:semiHidden/>
    <w:qFormat/>
    <w:uiPriority w:val="0"/>
    <w:rPr>
      <w:rFonts w:ascii="Times New Roman" w:hAnsi="Times New Roman" w:eastAsia="宋体" w:cs="Times New Roman"/>
      <w:kern w:val="0"/>
      <w:sz w:val="24"/>
      <w:szCs w:val="24"/>
      <w:shd w:val="clear" w:color="auto" w:fill="000080"/>
    </w:rPr>
  </w:style>
  <w:style w:type="character" w:customStyle="1" w:styleId="36">
    <w:name w:val="纯文本 Char"/>
    <w:basedOn w:val="20"/>
    <w:link w:val="8"/>
    <w:qFormat/>
    <w:uiPriority w:val="0"/>
    <w:rPr>
      <w:rFonts w:ascii="宋体" w:hAnsi="Courier New" w:eastAsia="宋体" w:cs="Courier New"/>
      <w:sz w:val="24"/>
      <w:szCs w:val="21"/>
    </w:rPr>
  </w:style>
  <w:style w:type="character" w:customStyle="1" w:styleId="37">
    <w:name w:val="批注框文本 Char"/>
    <w:basedOn w:val="20"/>
    <w:link w:val="11"/>
    <w:semiHidden/>
    <w:qFormat/>
    <w:uiPriority w:val="0"/>
    <w:rPr>
      <w:rFonts w:ascii="Times New Roman" w:hAnsi="Times New Roman" w:eastAsia="宋体" w:cs="Times New Roman"/>
      <w:kern w:val="0"/>
      <w:sz w:val="18"/>
      <w:szCs w:val="18"/>
    </w:rPr>
  </w:style>
  <w:style w:type="paragraph" w:customStyle="1" w:styleId="38">
    <w:name w:val="列出段落1"/>
    <w:basedOn w:val="1"/>
    <w:link w:val="42"/>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9">
    <w:name w:val="1111111199999"/>
    <w:basedOn w:val="1"/>
    <w:link w:val="40"/>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0">
    <w:name w:val="1111111199999 Char"/>
    <w:link w:val="39"/>
    <w:qFormat/>
    <w:locked/>
    <w:uiPriority w:val="0"/>
    <w:rPr>
      <w:rFonts w:ascii="Times New Roman" w:hAnsi="Times New Roman" w:eastAsia="宋体" w:cs="Times New Roman"/>
      <w:kern w:val="0"/>
      <w:szCs w:val="20"/>
    </w:rPr>
  </w:style>
  <w:style w:type="character" w:customStyle="1" w:styleId="41">
    <w:name w:val="apple-style-span"/>
    <w:qFormat/>
    <w:uiPriority w:val="0"/>
  </w:style>
  <w:style w:type="character" w:customStyle="1" w:styleId="42">
    <w:name w:val="List Paragraph Char"/>
    <w:link w:val="38"/>
    <w:qFormat/>
    <w:locked/>
    <w:uiPriority w:val="0"/>
    <w:rPr>
      <w:rFonts w:ascii="Calibri" w:hAnsi="Calibri" w:eastAsia="宋体" w:cs="Times New Roman"/>
      <w:kern w:val="0"/>
      <w:sz w:val="22"/>
      <w:szCs w:val="20"/>
      <w:lang w:eastAsia="en-US"/>
    </w:rPr>
  </w:style>
  <w:style w:type="paragraph" w:customStyle="1" w:styleId="43">
    <w:name w:val="Char Char Char Char"/>
    <w:basedOn w:val="1"/>
    <w:qFormat/>
    <w:uiPriority w:val="0"/>
    <w:rPr>
      <w:rFonts w:ascii="Times New Roman" w:hAnsi="Times New Roman" w:eastAsia="宋体" w:cs="Times New Roman"/>
      <w:sz w:val="24"/>
      <w:szCs w:val="36"/>
    </w:rPr>
  </w:style>
  <w:style w:type="character" w:customStyle="1" w:styleId="44">
    <w:name w:val="Char Char4"/>
    <w:qFormat/>
    <w:locked/>
    <w:uiPriority w:val="0"/>
    <w:rPr>
      <w:rFonts w:ascii="宋体" w:hAnsi="Courier New" w:eastAsia="宋体"/>
      <w:kern w:val="2"/>
      <w:sz w:val="21"/>
      <w:lang w:bidi="ar-SA"/>
    </w:rPr>
  </w:style>
  <w:style w:type="character" w:customStyle="1" w:styleId="45">
    <w:name w:val="样式 (中文) 仿宋_GB2312 三号"/>
    <w:basedOn w:val="20"/>
    <w:qFormat/>
    <w:uiPriority w:val="0"/>
    <w:rPr>
      <w:rFonts w:hint="eastAsia" w:ascii="仿宋_GB2312" w:eastAsia="仿宋_GB2312"/>
      <w:sz w:val="32"/>
    </w:rPr>
  </w:style>
  <w:style w:type="character" w:customStyle="1" w:styleId="46">
    <w:name w:val="Char Char3"/>
    <w:basedOn w:val="20"/>
    <w:qFormat/>
    <w:locked/>
    <w:uiPriority w:val="0"/>
    <w:rPr>
      <w:rFonts w:ascii="宋体" w:hAnsi="宋体" w:eastAsia="宋体"/>
      <w:sz w:val="18"/>
      <w:szCs w:val="18"/>
      <w:lang w:val="en-US" w:eastAsia="zh-CN" w:bidi="ar-SA"/>
    </w:rPr>
  </w:style>
  <w:style w:type="character" w:customStyle="1" w:styleId="47">
    <w:name w:val="HTML 预设格式 Char"/>
    <w:basedOn w:val="20"/>
    <w:link w:val="16"/>
    <w:qFormat/>
    <w:uiPriority w:val="0"/>
    <w:rPr>
      <w:rFonts w:ascii="黑体" w:hAnsi="Courier New" w:eastAsia="黑体" w:cs="Times New Roman"/>
      <w:kern w:val="0"/>
      <w:sz w:val="20"/>
      <w:szCs w:val="20"/>
    </w:rPr>
  </w:style>
  <w:style w:type="character" w:customStyle="1" w:styleId="48">
    <w:name w:val="日期 Char"/>
    <w:basedOn w:val="20"/>
    <w:link w:val="9"/>
    <w:semiHidden/>
    <w:qFormat/>
    <w:uiPriority w:val="99"/>
  </w:style>
  <w:style w:type="table" w:customStyle="1" w:styleId="49">
    <w:name w:val="网格型2"/>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网格型61"/>
    <w:basedOn w:val="18"/>
    <w:unhideWhenUsed/>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1">
    <w:name w:val="网格型64"/>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2">
    <w:name w:val="List Paragraph"/>
    <w:basedOn w:val="1"/>
    <w:link w:val="53"/>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character" w:customStyle="1" w:styleId="53">
    <w:name w:val="列出段落 Char"/>
    <w:link w:val="52"/>
    <w:qFormat/>
    <w:uiPriority w:val="34"/>
    <w:rPr>
      <w:rFonts w:ascii="Tahoma" w:hAnsi="Tahoma" w:eastAsia="微软雅黑" w:cs="Times New Roman"/>
      <w:kern w:val="0"/>
      <w:sz w:val="22"/>
    </w:rPr>
  </w:style>
  <w:style w:type="table" w:customStyle="1" w:styleId="54">
    <w:name w:val="网格型1"/>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D9B1F-7E8E-4A76-AA9A-933C250905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67</Pages>
  <Words>4735</Words>
  <Characters>26992</Characters>
  <Lines>224</Lines>
  <Paragraphs>63</Paragraphs>
  <TotalTime>0</TotalTime>
  <ScaleCrop>false</ScaleCrop>
  <LinksUpToDate>false</LinksUpToDate>
  <CharactersWithSpaces>31664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2020-08-24T08:08:00Z</dcterms:created>
  <dc:creator>Administrator</dc:creator>
  <cp:lastModifiedBy>Administrator</cp:lastModifiedBy>
  <cp:lastPrinted>2020-11-27T07:33:00Z</cp:lastPrinted>
  <dcterms:modified xsi:type="dcterms:W3CDTF">2020-12-09T07:25:26Z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