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谈 判 </w:t>
      </w:r>
      <w:r>
        <w:rPr>
          <w:rFonts w:ascii="Times New Roman" w:hAnsi="Times New Roman" w:eastAsia="方正小标宋简体" w:cs="Times New Roman"/>
          <w:kern w:val="0"/>
          <w:sz w:val="84"/>
          <w:szCs w:val="84"/>
        </w:rPr>
        <w:t>文</w:t>
      </w:r>
      <w:r>
        <w:rPr>
          <w:rFonts w:hint="eastAsia" w:ascii="Times New Roman" w:hAnsi="Times New Roman" w:eastAsia="方正小标宋简体" w:cs="Times New Roman"/>
          <w:kern w:val="0"/>
          <w:sz w:val="84"/>
          <w:szCs w:val="84"/>
        </w:rPr>
        <w:t xml:space="preserve"> </w:t>
      </w:r>
      <w:r>
        <w:rPr>
          <w:rFonts w:ascii="Times New Roman" w:hAnsi="Times New Roman" w:eastAsia="方正小标宋简体" w:cs="Times New Roman"/>
          <w:kern w:val="0"/>
          <w:sz w:val="84"/>
          <w:szCs w:val="84"/>
        </w:rPr>
        <w:t>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1755" w:firstLineChars="500"/>
        <w:jc w:val="left"/>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 xml:space="preserve">    文档管理系统    </w:t>
      </w:r>
    </w:p>
    <w:p>
      <w:pPr>
        <w:ind w:firstLine="2106" w:firstLineChars="600"/>
        <w:rPr>
          <w:rFonts w:ascii="宋体" w:hAnsi="宋体" w:eastAsia="宋体" w:cs="Times New Roman"/>
          <w:kern w:val="0"/>
          <w:sz w:val="36"/>
          <w:szCs w:val="36"/>
        </w:rPr>
      </w:pPr>
    </w:p>
    <w:p>
      <w:pPr>
        <w:ind w:firstLine="1755" w:firstLineChars="500"/>
        <w:jc w:val="left"/>
        <w:rPr>
          <w:rFonts w:ascii="宋体" w:hAnsi="宋体" w:eastAsia="宋体" w:cs="Times New Roman"/>
          <w:kern w:val="0"/>
          <w:sz w:val="36"/>
          <w:szCs w:val="36"/>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2020-JL13（03）-W30014</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二〇二〇年</w:t>
      </w:r>
      <w:r>
        <w:rPr>
          <w:rFonts w:hint="eastAsia" w:ascii="宋体" w:hAnsi="宋体" w:eastAsia="宋体" w:cs="Times New Roman"/>
          <w:kern w:val="0"/>
          <w:sz w:val="36"/>
          <w:szCs w:val="36"/>
        </w:rPr>
        <w:t>十二</w:t>
      </w:r>
      <w:r>
        <w:rPr>
          <w:rFonts w:ascii="宋体" w:hAnsi="宋体" w:eastAsia="宋体" w:cs="Times New Roman"/>
          <w:kern w:val="0"/>
          <w:sz w:val="36"/>
          <w:szCs w:val="36"/>
        </w:rPr>
        <w:t>月</w:t>
      </w:r>
    </w:p>
    <w:p>
      <w:pPr>
        <w:adjustRightInd w:val="0"/>
        <w:snapToGrid w:val="0"/>
        <w:spacing w:line="440" w:lineRule="exact"/>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谈判报价</w:t>
      </w:r>
      <w:r>
        <w:rPr>
          <w:rFonts w:ascii="黑体" w:hAnsi="黑体" w:eastAsia="黑体" w:cs="Times New Roman"/>
          <w:bCs/>
          <w:kern w:val="0"/>
          <w:sz w:val="30"/>
          <w:szCs w:val="30"/>
        </w:rPr>
        <w:t>注意事项</w:t>
      </w:r>
    </w:p>
    <w:p>
      <w:pPr>
        <w:widowControl/>
        <w:adjustRightInd w:val="0"/>
        <w:snapToGrid w:val="0"/>
        <w:spacing w:line="440" w:lineRule="exact"/>
        <w:ind w:firstLine="462" w:firstLineChars="200"/>
        <w:textAlignment w:val="baseline"/>
        <w:rPr>
          <w:rFonts w:ascii="宋体" w:hAnsi="宋体" w:eastAsia="宋体" w:cs="Times New Roman"/>
          <w:kern w:val="0"/>
          <w:sz w:val="24"/>
          <w:szCs w:val="24"/>
          <w:u w:color="000000"/>
        </w:rPr>
      </w:pP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一、报价方应特别留意谈判文件上载明的报价文件递交开始截止时间，提前或逾期送达（含邮寄送达）的报价文件概不接受。</w:t>
      </w:r>
    </w:p>
    <w:p>
      <w:pPr>
        <w:widowControl/>
        <w:adjustRightInd w:val="0"/>
        <w:snapToGrid w:val="0"/>
        <w:spacing w:line="520" w:lineRule="exact"/>
        <w:ind w:firstLine="582" w:firstLineChars="200"/>
        <w:rPr>
          <w:rFonts w:ascii="宋体" w:hAnsi="宋体" w:eastAsia="宋体" w:cs="Times New Roman"/>
          <w:snapToGrid w:val="0"/>
          <w:kern w:val="0"/>
          <w:sz w:val="30"/>
          <w:szCs w:val="30"/>
          <w:u w:color="000000"/>
        </w:rPr>
      </w:pPr>
      <w:r>
        <w:rPr>
          <w:rFonts w:hint="eastAsia" w:ascii="宋体" w:hAnsi="宋体" w:eastAsia="宋体" w:cs="Times New Roman"/>
          <w:kern w:val="0"/>
          <w:sz w:val="30"/>
          <w:szCs w:val="30"/>
          <w:u w:color="000000"/>
        </w:rPr>
        <w:t>二、请仔细检查谈判文件要求提交的相关证书的有效期和审核信息。</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snapToGrid w:val="0"/>
          <w:kern w:val="0"/>
          <w:sz w:val="30"/>
          <w:szCs w:val="30"/>
          <w:u w:color="000000"/>
        </w:rPr>
        <w:t>三、</w:t>
      </w:r>
      <w:r>
        <w:rPr>
          <w:rFonts w:hint="eastAsia" w:ascii="宋体" w:hAnsi="宋体" w:eastAsia="宋体" w:cs="Times New Roman"/>
          <w:kern w:val="0"/>
          <w:sz w:val="30"/>
          <w:szCs w:val="30"/>
          <w:u w:color="000000"/>
        </w:rPr>
        <w:t>请仔细检查报价文件是否按要求盖公章、签名、签署日期、胶装成册。报价文件需签名之处必须由当事人亲笔签署，否则可能会被视为无效报价。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四、谈判过程中报价方提交最终报价时，应将最终报价和其他澄清承诺分开填写、单独递交，否则将被视为无效报价。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五、带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号条款均为实质性响应指标要求，必须全部响应。若有一项带“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”的指标要求未响应或不满足，均视为非实质性响应谈判文件。</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七、供应商发现购买谈判文件时提交的相关资料被盗用或复制，应遵循法律途径解决，追究侵权者责任。</w:t>
      </w:r>
    </w:p>
    <w:p>
      <w:pPr>
        <w:widowControl/>
        <w:spacing w:line="440" w:lineRule="exact"/>
        <w:jc w:val="left"/>
        <w:rPr>
          <w:rFonts w:ascii="宋体" w:hAnsi="宋体" w:eastAsia="宋体" w:cs="Times New Roman"/>
          <w:kern w:val="0"/>
          <w:sz w:val="24"/>
          <w:szCs w:val="24"/>
        </w:rPr>
      </w:pPr>
      <w:r>
        <w:rPr>
          <w:rFonts w:ascii="宋体" w:hAnsi="宋体" w:eastAsia="宋体" w:cs="Times New Roman"/>
          <w:kern w:val="0"/>
          <w:sz w:val="24"/>
          <w:szCs w:val="24"/>
        </w:rPr>
        <w:br w:type="page"/>
      </w:r>
    </w:p>
    <w:p>
      <w:pPr>
        <w:widowControl/>
        <w:spacing w:line="440" w:lineRule="exact"/>
        <w:jc w:val="center"/>
        <w:rPr>
          <w:rFonts w:ascii="黑体" w:hAnsi="黑体" w:eastAsia="黑体" w:cs="Times New Roman"/>
          <w:kern w:val="0"/>
          <w:sz w:val="32"/>
          <w:szCs w:val="32"/>
        </w:rPr>
      </w:pPr>
      <w:r>
        <w:rPr>
          <w:rFonts w:hint="eastAsia" w:ascii="黑体" w:hAnsi="黑体" w:eastAsia="黑体" w:cs="Times New Roman"/>
          <w:kern w:val="0"/>
          <w:sz w:val="32"/>
          <w:szCs w:val="32"/>
        </w:rPr>
        <w:t>目    录</w:t>
      </w:r>
    </w:p>
    <w:p>
      <w:pPr>
        <w:spacing w:line="440" w:lineRule="exact"/>
        <w:rPr>
          <w:rFonts w:ascii="黑体" w:hAnsi="黑体" w:eastAsia="黑体" w:cs="Times New Roman"/>
          <w:kern w:val="0"/>
          <w:sz w:val="32"/>
          <w:szCs w:val="32"/>
        </w:rPr>
      </w:pPr>
    </w:p>
    <w:p>
      <w:pPr>
        <w:spacing w:line="440" w:lineRule="exact"/>
        <w:ind w:firstLine="462" w:firstLineChars="200"/>
        <w:rPr>
          <w:rFonts w:ascii="宋体" w:hAnsi="宋体" w:eastAsia="宋体" w:cs="Times New Roman"/>
          <w:kern w:val="0"/>
          <w:sz w:val="24"/>
          <w:szCs w:val="24"/>
        </w:rPr>
      </w:pPr>
    </w:p>
    <w:p>
      <w:pPr>
        <w:pStyle w:val="14"/>
        <w:ind w:left="804"/>
        <w:rPr>
          <w:rFonts w:asciiTheme="minorHAnsi" w:hAnsiTheme="minorHAnsi" w:eastAsiaTheme="minorEastAsia" w:cstheme="minorBidi"/>
          <w:kern w:val="2"/>
          <w:sz w:val="21"/>
          <w:szCs w:val="22"/>
        </w:rPr>
      </w:pPr>
      <w:r>
        <w:rPr>
          <w:rFonts w:ascii="宋体" w:hAnsi="宋体"/>
          <w:sz w:val="32"/>
        </w:rPr>
        <w:fldChar w:fldCharType="begin"/>
      </w:r>
      <w:r>
        <w:rPr>
          <w:rFonts w:ascii="宋体" w:hAnsi="宋体"/>
          <w:sz w:val="32"/>
        </w:rPr>
        <w:instrText xml:space="preserve"> TOC \o "1-3" \h \z \u </w:instrText>
      </w:r>
      <w:r>
        <w:rPr>
          <w:rFonts w:ascii="宋体" w:hAnsi="宋体"/>
          <w:sz w:val="32"/>
        </w:rPr>
        <w:fldChar w:fldCharType="separate"/>
      </w:r>
      <w:r>
        <w:fldChar w:fldCharType="begin"/>
      </w:r>
      <w:r>
        <w:instrText xml:space="preserve"> HYPERLINK \l "_Toc43485651" </w:instrText>
      </w:r>
      <w:r>
        <w:fldChar w:fldCharType="separate"/>
      </w:r>
      <w:r>
        <w:rPr>
          <w:rStyle w:val="22"/>
          <w:rFonts w:hint="eastAsia" w:ascii="黑体" w:hAnsi="黑体" w:eastAsia="黑体"/>
        </w:rPr>
        <w:t>第一部分</w:t>
      </w:r>
      <w:r>
        <w:rPr>
          <w:rStyle w:val="22"/>
          <w:rFonts w:ascii="黑体" w:hAnsi="黑体" w:eastAsia="黑体"/>
        </w:rPr>
        <w:t xml:space="preserve">  </w:t>
      </w:r>
      <w:r>
        <w:rPr>
          <w:rStyle w:val="22"/>
          <w:rFonts w:hint="eastAsia" w:ascii="黑体" w:hAnsi="黑体" w:eastAsia="黑体"/>
        </w:rPr>
        <w:t>采购公告</w:t>
      </w:r>
      <w:r>
        <w:tab/>
      </w:r>
      <w:r>
        <w:fldChar w:fldCharType="begin"/>
      </w:r>
      <w:r>
        <w:instrText xml:space="preserve"> PAGEREF _Toc43485651 \h </w:instrText>
      </w:r>
      <w:r>
        <w:fldChar w:fldCharType="separate"/>
      </w:r>
      <w:r>
        <w:t>1</w:t>
      </w:r>
      <w:r>
        <w:fldChar w:fldCharType="end"/>
      </w:r>
      <w:r>
        <w:fldChar w:fldCharType="end"/>
      </w:r>
    </w:p>
    <w:p>
      <w:pPr>
        <w:pStyle w:val="14"/>
        <w:ind w:left="804"/>
        <w:rPr>
          <w:rFonts w:asciiTheme="minorHAnsi" w:hAnsiTheme="minorHAnsi" w:eastAsiaTheme="minorEastAsia" w:cstheme="minorBidi"/>
          <w:kern w:val="2"/>
          <w:sz w:val="21"/>
          <w:szCs w:val="22"/>
        </w:rPr>
      </w:pPr>
      <w:r>
        <w:fldChar w:fldCharType="begin"/>
      </w:r>
      <w:r>
        <w:instrText xml:space="preserve"> HYPERLINK \l "_Toc43485652" </w:instrText>
      </w:r>
      <w:r>
        <w:fldChar w:fldCharType="separate"/>
      </w:r>
      <w:r>
        <w:rPr>
          <w:rStyle w:val="22"/>
          <w:rFonts w:hint="eastAsia" w:ascii="黑体" w:hAnsi="黑体" w:eastAsia="黑体"/>
          <w:lang w:val="zh-CN"/>
        </w:rPr>
        <w:t>第二部分</w:t>
      </w:r>
      <w:r>
        <w:rPr>
          <w:rStyle w:val="22"/>
          <w:rFonts w:ascii="黑体" w:hAnsi="黑体" w:eastAsia="黑体"/>
          <w:lang w:val="zh-CN"/>
        </w:rPr>
        <w:t xml:space="preserve">  </w:t>
      </w:r>
      <w:r>
        <w:rPr>
          <w:rStyle w:val="22"/>
          <w:rFonts w:hint="eastAsia" w:ascii="黑体" w:hAnsi="黑体" w:eastAsia="黑体"/>
          <w:lang w:val="zh-CN"/>
        </w:rPr>
        <w:t>采购项目技</w:t>
      </w:r>
      <w:r>
        <w:rPr>
          <w:rStyle w:val="22"/>
          <w:rFonts w:hint="eastAsia" w:ascii="黑体" w:hAnsi="黑体" w:eastAsia="黑体" w:cs="宋体"/>
          <w:lang w:val="zh-CN"/>
        </w:rPr>
        <w:t>术</w:t>
      </w:r>
      <w:r>
        <w:rPr>
          <w:rStyle w:val="22"/>
          <w:rFonts w:hint="eastAsia" w:ascii="黑体" w:hAnsi="黑体" w:eastAsia="黑体" w:cs="Dotum"/>
          <w:lang w:val="zh-CN"/>
        </w:rPr>
        <w:t>和商</w:t>
      </w:r>
      <w:r>
        <w:rPr>
          <w:rStyle w:val="22"/>
          <w:rFonts w:hint="eastAsia" w:ascii="黑体" w:hAnsi="黑体" w:eastAsia="黑体" w:cs="宋体"/>
          <w:lang w:val="zh-CN"/>
        </w:rPr>
        <w:t>务</w:t>
      </w:r>
      <w:r>
        <w:rPr>
          <w:rStyle w:val="22"/>
          <w:rFonts w:hint="eastAsia" w:ascii="黑体" w:hAnsi="黑体" w:eastAsia="黑体"/>
          <w:lang w:val="zh-CN"/>
        </w:rPr>
        <w:t>要求</w:t>
      </w:r>
      <w:r>
        <w:tab/>
      </w:r>
      <w:r>
        <w:fldChar w:fldCharType="begin"/>
      </w:r>
      <w:r>
        <w:instrText xml:space="preserve"> PAGEREF _Toc43485652 \h </w:instrText>
      </w:r>
      <w:r>
        <w:fldChar w:fldCharType="separate"/>
      </w:r>
      <w:r>
        <w:t>4</w:t>
      </w:r>
      <w:r>
        <w:fldChar w:fldCharType="end"/>
      </w:r>
      <w:r>
        <w:fldChar w:fldCharType="end"/>
      </w:r>
    </w:p>
    <w:p>
      <w:pPr>
        <w:pStyle w:val="14"/>
        <w:ind w:left="804"/>
        <w:rPr>
          <w:rFonts w:asciiTheme="minorHAnsi" w:hAnsiTheme="minorHAnsi" w:eastAsiaTheme="minorEastAsia" w:cstheme="minorBidi"/>
          <w:kern w:val="2"/>
          <w:sz w:val="21"/>
          <w:szCs w:val="22"/>
        </w:rPr>
      </w:pPr>
      <w:r>
        <w:fldChar w:fldCharType="begin"/>
      </w:r>
      <w:r>
        <w:instrText xml:space="preserve"> HYPERLINK \l "_Toc43485653" </w:instrText>
      </w:r>
      <w:r>
        <w:fldChar w:fldCharType="separate"/>
      </w:r>
      <w:r>
        <w:rPr>
          <w:rStyle w:val="22"/>
          <w:rFonts w:hint="eastAsia" w:ascii="黑体" w:hAnsi="黑体" w:eastAsia="黑体"/>
        </w:rPr>
        <w:t>第三部分</w:t>
      </w:r>
      <w:r>
        <w:rPr>
          <w:rStyle w:val="22"/>
          <w:rFonts w:ascii="黑体" w:hAnsi="黑体" w:eastAsia="黑体"/>
        </w:rPr>
        <w:t xml:space="preserve">  </w:t>
      </w:r>
      <w:r>
        <w:rPr>
          <w:rStyle w:val="22"/>
          <w:rFonts w:hint="eastAsia" w:ascii="黑体" w:hAnsi="黑体" w:eastAsia="黑体"/>
          <w:lang w:val="zh-CN"/>
        </w:rPr>
        <w:t>报价方</w:t>
      </w:r>
      <w:r>
        <w:rPr>
          <w:rStyle w:val="22"/>
          <w:rFonts w:hint="eastAsia" w:ascii="黑体" w:hAnsi="黑体" w:eastAsia="黑体"/>
        </w:rPr>
        <w:t>须知</w:t>
      </w:r>
      <w:r>
        <w:tab/>
      </w:r>
      <w:r>
        <w:fldChar w:fldCharType="begin"/>
      </w:r>
      <w:r>
        <w:instrText xml:space="preserve"> PAGEREF _Toc43485653 \h </w:instrText>
      </w:r>
      <w:r>
        <w:fldChar w:fldCharType="separate"/>
      </w:r>
      <w:r>
        <w:t>6</w:t>
      </w:r>
      <w:r>
        <w:fldChar w:fldCharType="end"/>
      </w:r>
      <w:r>
        <w:fldChar w:fldCharType="end"/>
      </w:r>
    </w:p>
    <w:p>
      <w:pPr>
        <w:pStyle w:val="14"/>
        <w:ind w:left="804"/>
        <w:rPr>
          <w:rFonts w:asciiTheme="minorHAnsi" w:hAnsiTheme="minorHAnsi" w:eastAsiaTheme="minorEastAsia" w:cstheme="minorBidi"/>
          <w:kern w:val="2"/>
          <w:sz w:val="21"/>
          <w:szCs w:val="22"/>
        </w:rPr>
      </w:pPr>
      <w:r>
        <w:fldChar w:fldCharType="begin"/>
      </w:r>
      <w:r>
        <w:instrText xml:space="preserve"> HYPERLINK \l "_Toc43485654" </w:instrText>
      </w:r>
      <w:r>
        <w:fldChar w:fldCharType="separate"/>
      </w:r>
      <w:r>
        <w:rPr>
          <w:rStyle w:val="22"/>
          <w:rFonts w:hint="eastAsia" w:ascii="黑体" w:hAnsi="黑体" w:eastAsia="黑体"/>
          <w:bCs/>
        </w:rPr>
        <w:t>第四部分</w:t>
      </w:r>
      <w:r>
        <w:rPr>
          <w:rStyle w:val="22"/>
          <w:rFonts w:ascii="黑体" w:hAnsi="黑体" w:eastAsia="黑体"/>
          <w:bCs/>
        </w:rPr>
        <w:t xml:space="preserve">  </w:t>
      </w:r>
      <w:r>
        <w:rPr>
          <w:rStyle w:val="22"/>
          <w:rFonts w:hint="eastAsia" w:ascii="黑体" w:hAnsi="黑体" w:eastAsia="黑体"/>
          <w:bCs/>
        </w:rPr>
        <w:t>合同样本</w:t>
      </w:r>
      <w:r>
        <w:tab/>
      </w:r>
      <w:r>
        <w:fldChar w:fldCharType="begin"/>
      </w:r>
      <w:r>
        <w:instrText xml:space="preserve"> PAGEREF _Toc43485654 \h </w:instrText>
      </w:r>
      <w:r>
        <w:fldChar w:fldCharType="separate"/>
      </w:r>
      <w:r>
        <w:t>29</w:t>
      </w:r>
      <w:r>
        <w:fldChar w:fldCharType="end"/>
      </w:r>
      <w:r>
        <w:fldChar w:fldCharType="end"/>
      </w:r>
    </w:p>
    <w:p>
      <w:pPr>
        <w:pStyle w:val="14"/>
        <w:ind w:left="804"/>
        <w:rPr>
          <w:rFonts w:asciiTheme="minorHAnsi" w:hAnsiTheme="minorHAnsi" w:eastAsiaTheme="minorEastAsia" w:cstheme="minorBidi"/>
          <w:kern w:val="2"/>
          <w:sz w:val="21"/>
          <w:szCs w:val="22"/>
        </w:rPr>
      </w:pPr>
      <w:r>
        <w:fldChar w:fldCharType="begin"/>
      </w:r>
      <w:r>
        <w:instrText xml:space="preserve"> HYPERLINK \l "_Toc43485655" </w:instrText>
      </w:r>
      <w:r>
        <w:fldChar w:fldCharType="separate"/>
      </w:r>
      <w:r>
        <w:rPr>
          <w:rStyle w:val="22"/>
          <w:rFonts w:hint="eastAsia" w:ascii="黑体" w:hAnsi="黑体" w:eastAsia="黑体"/>
        </w:rPr>
        <w:t>第五部分</w:t>
      </w:r>
      <w:r>
        <w:rPr>
          <w:rStyle w:val="22"/>
          <w:rFonts w:ascii="黑体" w:hAnsi="黑体" w:eastAsia="黑体"/>
        </w:rPr>
        <w:t xml:space="preserve">  </w:t>
      </w:r>
      <w:r>
        <w:rPr>
          <w:rStyle w:val="22"/>
          <w:rFonts w:hint="eastAsia" w:ascii="黑体" w:hAnsi="黑体" w:eastAsia="黑体"/>
        </w:rPr>
        <w:t>附件</w:t>
      </w:r>
      <w:r>
        <w:rPr>
          <w:rStyle w:val="22"/>
          <w:rFonts w:ascii="黑体" w:hAnsi="黑体" w:eastAsia="黑体"/>
        </w:rPr>
        <w:t>/</w:t>
      </w:r>
      <w:r>
        <w:rPr>
          <w:rStyle w:val="22"/>
          <w:rFonts w:hint="eastAsia" w:ascii="黑体" w:hAnsi="黑体" w:eastAsia="黑体"/>
        </w:rPr>
        <w:t>报价文件格式</w:t>
      </w:r>
      <w:r>
        <w:tab/>
      </w:r>
      <w:r>
        <w:fldChar w:fldCharType="begin"/>
      </w:r>
      <w:r>
        <w:instrText xml:space="preserve"> PAGEREF _Toc43485655 \h </w:instrText>
      </w:r>
      <w:r>
        <w:fldChar w:fldCharType="separate"/>
      </w:r>
      <w:r>
        <w:t>34</w:t>
      </w:r>
      <w:r>
        <w:fldChar w:fldCharType="end"/>
      </w:r>
      <w:r>
        <w:fldChar w:fldCharType="end"/>
      </w:r>
    </w:p>
    <w:p>
      <w:pPr>
        <w:spacing w:line="440" w:lineRule="exact"/>
        <w:rPr>
          <w:rFonts w:ascii="宋体" w:hAnsi="宋体" w:eastAsia="宋体" w:cs="Times New Roman"/>
          <w:kern w:val="0"/>
          <w:sz w:val="32"/>
          <w:szCs w:val="24"/>
        </w:rPr>
      </w:pPr>
      <w:r>
        <w:rPr>
          <w:rFonts w:ascii="宋体" w:hAnsi="宋体" w:eastAsia="宋体" w:cs="Times New Roman"/>
          <w:kern w:val="0"/>
          <w:sz w:val="32"/>
          <w:szCs w:val="24"/>
        </w:rPr>
        <w:fldChar w:fldCharType="end"/>
      </w:r>
    </w:p>
    <w:p>
      <w:pPr>
        <w:spacing w:line="440" w:lineRule="exact"/>
        <w:ind w:firstLine="462" w:firstLineChars="200"/>
        <w:rPr>
          <w:rFonts w:ascii="宋体" w:hAnsi="宋体" w:eastAsia="宋体" w:cs="Times New Roman"/>
          <w:kern w:val="0"/>
          <w:sz w:val="24"/>
          <w:szCs w:val="24"/>
        </w:rPr>
      </w:pPr>
    </w:p>
    <w:p>
      <w:pPr>
        <w:spacing w:beforeLines="100" w:line="440" w:lineRule="exact"/>
        <w:jc w:val="center"/>
        <w:rPr>
          <w:rFonts w:ascii="宋体" w:hAnsi="宋体" w:eastAsia="宋体" w:cs="Times New Roman"/>
          <w:kern w:val="0"/>
          <w:sz w:val="24"/>
          <w:szCs w:val="2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spacing w:line="360" w:lineRule="exact"/>
        <w:jc w:val="center"/>
        <w:rPr>
          <w:rFonts w:ascii="黑体" w:hAnsi="黑体" w:eastAsia="黑体"/>
          <w:kern w:val="0"/>
          <w:sz w:val="32"/>
          <w:szCs w:val="32"/>
        </w:rPr>
      </w:pPr>
      <w:bookmarkStart w:id="1" w:name="_Toc285612593"/>
      <w:bookmarkStart w:id="2" w:name="_Toc435540978"/>
      <w:bookmarkStart w:id="3" w:name="_Toc43485651"/>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采购公告</w:t>
      </w:r>
      <w:bookmarkEnd w:id="3"/>
    </w:p>
    <w:bookmarkEnd w:id="0"/>
    <w:p>
      <w:pPr>
        <w:adjustRightInd w:val="0"/>
        <w:snapToGrid w:val="0"/>
        <w:spacing w:line="360" w:lineRule="exact"/>
        <w:jc w:val="center"/>
        <w:rPr>
          <w:rFonts w:ascii="Tahoma" w:hAnsi="Tahoma" w:cs="Tahoma"/>
          <w:b/>
          <w:bCs/>
          <w:kern w:val="0"/>
          <w:sz w:val="28"/>
          <w:szCs w:val="28"/>
        </w:rPr>
      </w:pPr>
      <w:r>
        <w:rPr>
          <w:rFonts w:hint="eastAsia" w:ascii="Tahoma" w:hAnsi="Tahoma" w:cs="Tahoma"/>
          <w:b/>
          <w:bCs/>
          <w:kern w:val="0"/>
          <w:sz w:val="28"/>
          <w:szCs w:val="28"/>
        </w:rPr>
        <w:t>关于文档管理系统的采购</w:t>
      </w:r>
      <w:r>
        <w:rPr>
          <w:rFonts w:ascii="Tahoma" w:hAnsi="Tahoma" w:cs="Tahoma"/>
          <w:b/>
          <w:bCs/>
          <w:kern w:val="0"/>
          <w:sz w:val="28"/>
          <w:szCs w:val="28"/>
        </w:rPr>
        <w:t>公告</w:t>
      </w:r>
      <w:r>
        <w:rPr>
          <w:rFonts w:hint="eastAsia" w:ascii="Tahoma" w:hAnsi="Tahoma" w:cs="Tahoma"/>
          <w:kern w:val="0"/>
          <w:sz w:val="28"/>
          <w:szCs w:val="28"/>
        </w:rPr>
        <w:t>2020-JL13（03）-W30014</w:t>
      </w:r>
    </w:p>
    <w:p>
      <w:pPr>
        <w:spacing w:line="360" w:lineRule="exact"/>
        <w:ind w:firstLine="462" w:firstLineChars="200"/>
        <w:rPr>
          <w:rFonts w:ascii="宋体" w:hAnsi="宋体" w:eastAsia="宋体" w:cs="Times New Roman"/>
          <w:kern w:val="0"/>
          <w:sz w:val="24"/>
          <w:szCs w:val="24"/>
        </w:rPr>
      </w:pPr>
    </w:p>
    <w:p>
      <w:pPr>
        <w:spacing w:line="36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我院就以下项目进行竞争性谈判，</w:t>
      </w:r>
      <w:r>
        <w:rPr>
          <w:rFonts w:hint="eastAsia" w:cs="Times New Roman" w:asciiTheme="minorEastAsia" w:hAnsiTheme="minorEastAsia"/>
          <w:kern w:val="0"/>
          <w:sz w:val="24"/>
          <w:szCs w:val="24"/>
        </w:rPr>
        <w:t>欢迎符合条件的供应商</w:t>
      </w:r>
      <w:r>
        <w:rPr>
          <w:rFonts w:hint="eastAsia" w:ascii="宋体" w:hAnsi="宋体" w:eastAsia="宋体" w:cs="Times New Roman"/>
          <w:kern w:val="0"/>
          <w:sz w:val="24"/>
          <w:szCs w:val="24"/>
        </w:rPr>
        <w:t>参加谈判报价。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项目名称：</w:t>
      </w:r>
      <w:r>
        <w:rPr>
          <w:rFonts w:hint="eastAsia" w:ascii="宋体" w:hAnsi="宋体" w:eastAsia="宋体" w:cs="Times New Roman"/>
          <w:kern w:val="0"/>
          <w:sz w:val="24"/>
          <w:szCs w:val="24"/>
        </w:rPr>
        <w:t>文档管理系统</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ascii="宋体" w:hAnsi="宋体" w:eastAsia="宋体" w:cs="Times New Roman"/>
          <w:kern w:val="0"/>
          <w:sz w:val="24"/>
          <w:szCs w:val="24"/>
        </w:rPr>
        <w:t>项目编号：</w:t>
      </w:r>
      <w:r>
        <w:rPr>
          <w:rFonts w:hint="eastAsia" w:ascii="宋体" w:hAnsi="宋体" w:eastAsia="宋体" w:cs="Times New Roman"/>
          <w:kern w:val="0"/>
          <w:sz w:val="24"/>
          <w:szCs w:val="24"/>
        </w:rPr>
        <w:t>2020-JL13（03）-W30014</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三、项目概况</w:t>
      </w:r>
      <w:r>
        <w:rPr>
          <w:rFonts w:ascii="宋体" w:hAnsi="宋体" w:eastAsia="宋体" w:cs="Times New Roman"/>
          <w:kern w:val="0"/>
          <w:sz w:val="24"/>
          <w:szCs w:val="24"/>
        </w:rPr>
        <w:t>：</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860"/>
        <w:gridCol w:w="709"/>
        <w:gridCol w:w="1559"/>
        <w:gridCol w:w="709"/>
        <w:gridCol w:w="643"/>
        <w:gridCol w:w="1058"/>
        <w:gridCol w:w="992"/>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napToGrid w:val="0"/>
                <w:sz w:val="24"/>
                <w:szCs w:val="24"/>
              </w:rPr>
            </w:pPr>
            <w:r>
              <w:rPr>
                <w:rFonts w:hint="eastAsia" w:ascii="宋体" w:hAnsi="宋体" w:eastAsia="宋体" w:cs="Times New Roman"/>
                <w:snapToGrid w:val="0"/>
                <w:kern w:val="0"/>
                <w:sz w:val="24"/>
                <w:szCs w:val="24"/>
              </w:rPr>
              <w:t>包号</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napToGrid w:val="0"/>
                <w:sz w:val="24"/>
                <w:szCs w:val="24"/>
              </w:rPr>
            </w:pPr>
            <w:r>
              <w:rPr>
                <w:rFonts w:hint="eastAsia" w:ascii="宋体" w:hAnsi="宋体" w:eastAsia="宋体" w:cs="Times New Roman"/>
                <w:snapToGrid w:val="0"/>
                <w:kern w:val="0"/>
                <w:sz w:val="24"/>
                <w:szCs w:val="24"/>
              </w:rPr>
              <w:t>货物名称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规格</w:t>
            </w:r>
          </w:p>
          <w:p>
            <w:pPr>
              <w:adjustRightInd w:val="0"/>
              <w:snapToGrid w:val="0"/>
              <w:spacing w:line="360" w:lineRule="exact"/>
              <w:jc w:val="center"/>
              <w:rPr>
                <w:rFonts w:ascii="宋体" w:hAnsi="宋体" w:eastAsia="宋体" w:cs="Times New Roman"/>
                <w:snapToGrid w:val="0"/>
                <w:sz w:val="24"/>
                <w:szCs w:val="24"/>
              </w:rPr>
            </w:pPr>
            <w:r>
              <w:rPr>
                <w:rFonts w:hint="eastAsia" w:ascii="宋体" w:hAnsi="宋体" w:eastAsia="宋体" w:cs="Times New Roman"/>
                <w:snapToGrid w:val="0"/>
                <w:kern w:val="0"/>
                <w:sz w:val="24"/>
                <w:szCs w:val="24"/>
              </w:rPr>
              <w:t>型号</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技术</w:t>
            </w:r>
          </w:p>
          <w:p>
            <w:pPr>
              <w:adjustRightInd w:val="0"/>
              <w:snapToGrid w:val="0"/>
              <w:spacing w:line="360" w:lineRule="exact"/>
              <w:jc w:val="center"/>
              <w:rPr>
                <w:rFonts w:ascii="宋体" w:hAnsi="宋体" w:eastAsia="宋体" w:cs="Times New Roman"/>
                <w:snapToGrid w:val="0"/>
                <w:sz w:val="24"/>
                <w:szCs w:val="24"/>
              </w:rPr>
            </w:pPr>
            <w:r>
              <w:rPr>
                <w:rFonts w:hint="eastAsia" w:ascii="宋体" w:hAnsi="宋体" w:eastAsia="宋体" w:cs="Times New Roman"/>
                <w:snapToGrid w:val="0"/>
                <w:kern w:val="0"/>
                <w:sz w:val="24"/>
                <w:szCs w:val="24"/>
              </w:rPr>
              <w:t>要求</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napToGrid w:val="0"/>
                <w:sz w:val="24"/>
                <w:szCs w:val="24"/>
              </w:rPr>
            </w:pPr>
            <w:r>
              <w:rPr>
                <w:rFonts w:hint="eastAsia" w:ascii="宋体" w:hAnsi="宋体" w:eastAsia="宋体" w:cs="Times New Roman"/>
                <w:snapToGrid w:val="0"/>
                <w:kern w:val="0"/>
                <w:sz w:val="24"/>
                <w:szCs w:val="24"/>
              </w:rPr>
              <w:t>计量</w:t>
            </w:r>
          </w:p>
          <w:p>
            <w:pPr>
              <w:adjustRightInd w:val="0"/>
              <w:snapToGrid w:val="0"/>
              <w:spacing w:line="360" w:lineRule="exact"/>
              <w:jc w:val="center"/>
              <w:rPr>
                <w:rFonts w:ascii="宋体" w:hAnsi="宋体" w:eastAsia="宋体" w:cs="Times New Roman"/>
                <w:snapToGrid w:val="0"/>
                <w:sz w:val="24"/>
                <w:szCs w:val="24"/>
              </w:rPr>
            </w:pPr>
            <w:r>
              <w:rPr>
                <w:rFonts w:hint="eastAsia" w:ascii="宋体" w:hAnsi="宋体" w:eastAsia="宋体" w:cs="Times New Roman"/>
                <w:snapToGrid w:val="0"/>
                <w:kern w:val="0"/>
                <w:sz w:val="24"/>
                <w:szCs w:val="24"/>
              </w:rPr>
              <w:t>单位</w:t>
            </w:r>
          </w:p>
        </w:tc>
        <w:tc>
          <w:tcPr>
            <w:tcW w:w="6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napToGrid w:val="0"/>
                <w:sz w:val="24"/>
                <w:szCs w:val="24"/>
              </w:rPr>
            </w:pPr>
            <w:r>
              <w:rPr>
                <w:rFonts w:hint="eastAsia" w:ascii="宋体" w:hAnsi="宋体" w:eastAsia="宋体" w:cs="Times New Roman"/>
                <w:snapToGrid w:val="0"/>
                <w:kern w:val="0"/>
                <w:sz w:val="24"/>
                <w:szCs w:val="24"/>
              </w:rPr>
              <w:t>数量</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napToGrid w:val="0"/>
                <w:sz w:val="24"/>
                <w:szCs w:val="24"/>
              </w:rPr>
            </w:pPr>
            <w:r>
              <w:rPr>
                <w:rFonts w:hint="eastAsia" w:ascii="宋体" w:hAnsi="宋体" w:eastAsia="宋体" w:cs="Times New Roman"/>
                <w:snapToGrid w:val="0"/>
                <w:kern w:val="0"/>
                <w:sz w:val="24"/>
                <w:szCs w:val="24"/>
              </w:rPr>
              <w:t>交货</w:t>
            </w:r>
          </w:p>
          <w:p>
            <w:pPr>
              <w:adjustRightInd w:val="0"/>
              <w:snapToGrid w:val="0"/>
              <w:spacing w:line="360" w:lineRule="exact"/>
              <w:jc w:val="center"/>
              <w:rPr>
                <w:rFonts w:ascii="宋体" w:hAnsi="宋体" w:eastAsia="宋体" w:cs="Times New Roman"/>
                <w:snapToGrid w:val="0"/>
                <w:sz w:val="24"/>
                <w:szCs w:val="24"/>
              </w:rPr>
            </w:pPr>
            <w:r>
              <w:rPr>
                <w:rFonts w:hint="eastAsia" w:ascii="宋体" w:hAnsi="宋体" w:eastAsia="宋体" w:cs="Times New Roman"/>
                <w:snapToGrid w:val="0"/>
                <w:kern w:val="0"/>
                <w:sz w:val="24"/>
                <w:szCs w:val="24"/>
              </w:rPr>
              <w:t>时间</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交货</w:t>
            </w:r>
          </w:p>
          <w:p>
            <w:pPr>
              <w:adjustRightInd w:val="0"/>
              <w:snapToGrid w:val="0"/>
              <w:spacing w:line="360" w:lineRule="exact"/>
              <w:jc w:val="center"/>
              <w:rPr>
                <w:rFonts w:ascii="宋体" w:hAnsi="宋体" w:eastAsia="宋体" w:cs="Times New Roman"/>
                <w:snapToGrid w:val="0"/>
                <w:sz w:val="24"/>
                <w:szCs w:val="24"/>
              </w:rPr>
            </w:pPr>
            <w:r>
              <w:rPr>
                <w:rFonts w:hint="eastAsia" w:ascii="宋体" w:hAnsi="宋体" w:eastAsia="宋体" w:cs="Times New Roman"/>
                <w:snapToGrid w:val="0"/>
                <w:kern w:val="0"/>
                <w:sz w:val="24"/>
                <w:szCs w:val="24"/>
              </w:rPr>
              <w:t>地点</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napToGrid w:val="0"/>
                <w:sz w:val="24"/>
                <w:szCs w:val="24"/>
              </w:rPr>
            </w:pPr>
            <w:r>
              <w:rPr>
                <w:rFonts w:hint="eastAsia" w:ascii="宋体" w:hAnsi="宋体" w:eastAsia="宋体" w:cs="Times New Roman"/>
                <w:snapToGrid w:val="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3"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24"/>
                <w:szCs w:val="24"/>
              </w:rPr>
            </w:pPr>
            <w:r>
              <w:rPr>
                <w:rFonts w:hint="eastAsia" w:ascii="宋体" w:hAnsi="宋体" w:eastAsia="宋体" w:cs="Times New Roman"/>
                <w:sz w:val="24"/>
                <w:szCs w:val="24"/>
              </w:rPr>
              <w:t>1</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24"/>
                <w:szCs w:val="24"/>
              </w:rPr>
            </w:pPr>
            <w:r>
              <w:rPr>
                <w:rFonts w:hint="eastAsia" w:ascii="宋体" w:hAnsi="宋体" w:eastAsia="宋体" w:cs="Times New Roman"/>
                <w:kern w:val="0"/>
                <w:sz w:val="24"/>
                <w:szCs w:val="24"/>
              </w:rPr>
              <w:t>文档管理系统</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24"/>
                <w:szCs w:val="24"/>
              </w:rPr>
            </w:pPr>
            <w:r>
              <w:rPr>
                <w:rFonts w:hint="eastAsia" w:ascii="宋体" w:hAnsi="宋体" w:eastAsia="宋体" w:cs="Times New Roman"/>
                <w:sz w:val="24"/>
                <w:szCs w:val="24"/>
              </w:rPr>
              <w:t>/</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24"/>
                <w:szCs w:val="24"/>
              </w:rPr>
            </w:pPr>
            <w:r>
              <w:rPr>
                <w:rFonts w:hint="eastAsia" w:ascii="宋体" w:hAnsi="宋体" w:eastAsia="宋体" w:cs="Times New Roman"/>
                <w:kern w:val="0"/>
                <w:sz w:val="24"/>
                <w:szCs w:val="24"/>
              </w:rPr>
              <w:t>详见谈判文件附件21</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24"/>
                <w:szCs w:val="24"/>
              </w:rPr>
            </w:pPr>
            <w:r>
              <w:rPr>
                <w:rFonts w:hint="eastAsia" w:ascii="宋体" w:hAnsi="宋体" w:eastAsia="宋体" w:cs="Times New Roman"/>
                <w:sz w:val="24"/>
                <w:szCs w:val="24"/>
              </w:rPr>
              <w:t>项</w:t>
            </w:r>
          </w:p>
        </w:tc>
        <w:tc>
          <w:tcPr>
            <w:tcW w:w="6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24"/>
                <w:szCs w:val="24"/>
              </w:rPr>
            </w:pPr>
            <w:r>
              <w:rPr>
                <w:rFonts w:hint="eastAsia" w:ascii="宋体" w:hAnsi="宋体" w:eastAsia="宋体" w:cs="Times New Roman"/>
                <w:sz w:val="24"/>
                <w:szCs w:val="24"/>
              </w:rPr>
              <w:t>1</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24"/>
                <w:szCs w:val="24"/>
              </w:rPr>
            </w:pPr>
            <w:r>
              <w:rPr>
                <w:rFonts w:hint="eastAsia" w:cs="Times New Roman" w:asciiTheme="minorEastAsia" w:hAnsiTheme="minorEastAsia"/>
                <w:szCs w:val="21"/>
              </w:rPr>
              <w:t>合同签订后180个日历日</w:t>
            </w:r>
          </w:p>
        </w:tc>
        <w:tc>
          <w:tcPr>
            <w:tcW w:w="992" w:type="dxa"/>
            <w:tcBorders>
              <w:top w:val="single" w:color="auto" w:sz="4" w:space="0"/>
              <w:left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24"/>
                <w:szCs w:val="24"/>
              </w:rPr>
            </w:pPr>
            <w:r>
              <w:rPr>
                <w:rFonts w:hint="eastAsia" w:ascii="宋体" w:hAnsi="宋体" w:eastAsia="宋体" w:cs="Times New Roman"/>
                <w:sz w:val="24"/>
                <w:szCs w:val="24"/>
              </w:rPr>
              <w:t>重庆市</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1"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最高限价</w:t>
            </w:r>
          </w:p>
        </w:tc>
        <w:tc>
          <w:tcPr>
            <w:tcW w:w="8260"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eastAsia="宋体" w:cs="Times New Roman"/>
                <w:kern w:val="0"/>
                <w:sz w:val="24"/>
                <w:szCs w:val="24"/>
              </w:rPr>
            </w:pPr>
            <w:r>
              <w:rPr>
                <w:rFonts w:hint="eastAsia" w:ascii="宋体" w:hAnsi="宋体" w:eastAsia="宋体" w:cs="Times New Roman"/>
                <w:kern w:val="0"/>
                <w:sz w:val="24"/>
                <w:szCs w:val="24"/>
              </w:rPr>
              <w:t>¥462,480.00元 （大写人民币：肆拾陆万元贰仟肆佰捌拾元整）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24"/>
                <w:szCs w:val="24"/>
              </w:rPr>
            </w:pPr>
            <w:r>
              <w:rPr>
                <w:rFonts w:hint="eastAsia" w:ascii="宋体" w:hAnsi="宋体" w:eastAsia="宋体" w:cs="Times New Roman"/>
                <w:snapToGrid w:val="0"/>
                <w:kern w:val="0"/>
                <w:sz w:val="24"/>
                <w:szCs w:val="24"/>
              </w:rPr>
              <w:t>说明</w:t>
            </w:r>
          </w:p>
        </w:tc>
        <w:tc>
          <w:tcPr>
            <w:tcW w:w="8260"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eastAsia="宋体" w:cs="Times New Roman"/>
                <w:sz w:val="24"/>
                <w:szCs w:val="24"/>
              </w:rPr>
            </w:pPr>
            <w:r>
              <w:rPr>
                <w:rFonts w:ascii="宋体" w:hAnsi="宋体" w:eastAsia="宋体" w:cs="Times New Roman"/>
                <w:kern w:val="0"/>
                <w:sz w:val="24"/>
                <w:szCs w:val="24"/>
              </w:rPr>
              <w:t>1.</w:t>
            </w:r>
            <w:r>
              <w:rPr>
                <w:rFonts w:hint="eastAsia" w:ascii="宋体" w:hAnsi="宋体"/>
              </w:rPr>
              <w:t xml:space="preserve"> 报价应包括所有货物供应、运输、安装、培训、售后服务等价格。</w:t>
            </w:r>
          </w:p>
        </w:tc>
      </w:tr>
    </w:tbl>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（一）符合《中华人民共和国政府采购法》第二十二条资格条件：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1.具有独立承担民事责任的能力；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2.具有良好的商业信誉和健全的财务会计制度；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3.具有履行合同所必需的设备和专业技术能力；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4.有依法缴纳税收和社会保障资金的良好记录；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5.参加政府采购活动前3年内，在经营活动中没有重大违法记录；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6.法律、行政法规规定的其他条件。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（二）供应商成立时间不少于1年。</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（三）非外资独资或外资控股企业。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（五）本项目不接受联合体报价。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（六）注册资金200万（含）以上生产或销售型企业。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（七）报价方</w:t>
      </w:r>
      <w:r>
        <w:rPr>
          <w:rFonts w:hint="eastAsia" w:cs="Times New Roman" w:asciiTheme="minorEastAsia" w:hAnsiTheme="minorEastAsia"/>
          <w:kern w:val="0"/>
          <w:sz w:val="24"/>
          <w:szCs w:val="24"/>
        </w:rPr>
        <w:t>应具备本项目生产或者销售范围（以报价方提供的营业执照、经营许可证为准）</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五、谈判文件发售时间、地点、方式及售价</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（一）报名时间：</w:t>
      </w:r>
      <w:r>
        <w:rPr>
          <w:rFonts w:hint="eastAsia" w:ascii="宋体" w:hAnsi="宋体" w:eastAsia="宋体" w:cs="Times New Roman"/>
          <w:kern w:val="0"/>
          <w:sz w:val="24"/>
          <w:szCs w:val="24"/>
          <w:u w:val="single"/>
          <w:lang w:val="en-US" w:eastAsia="zh-CN"/>
        </w:rPr>
        <w:t>2020</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lang w:val="en-US" w:eastAsia="zh-CN"/>
        </w:rPr>
        <w:t>12</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lang w:val="en-US" w:eastAsia="zh-CN"/>
        </w:rPr>
        <w:t>10</w:t>
      </w:r>
      <w:r>
        <w:rPr>
          <w:rFonts w:hint="eastAsia" w:ascii="宋体" w:hAnsi="宋体" w:eastAsia="宋体" w:cs="Times New Roman"/>
          <w:kern w:val="0"/>
          <w:sz w:val="24"/>
          <w:szCs w:val="24"/>
        </w:rPr>
        <w:t>日至</w:t>
      </w:r>
      <w:r>
        <w:rPr>
          <w:rFonts w:hint="eastAsia" w:ascii="宋体" w:hAnsi="宋体" w:eastAsia="宋体" w:cs="Times New Roman"/>
          <w:kern w:val="0"/>
          <w:sz w:val="24"/>
          <w:szCs w:val="24"/>
          <w:u w:val="single"/>
          <w:lang w:val="en-US" w:eastAsia="zh-CN"/>
        </w:rPr>
        <w:t>12</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lang w:val="en-US" w:eastAsia="zh-CN"/>
        </w:rPr>
        <w:t>17</w:t>
      </w:r>
      <w:r>
        <w:rPr>
          <w:rFonts w:hint="eastAsia" w:ascii="宋体" w:hAnsi="宋体" w:eastAsia="宋体" w:cs="Times New Roman"/>
          <w:kern w:val="0"/>
          <w:sz w:val="24"/>
          <w:szCs w:val="24"/>
        </w:rPr>
        <w:t>日（08:00—11:30，15:00—17:30）（北京时间、节假日除外）。</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（二）发售时间：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（三）发售地点：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（四）发售方式：供应商指定专人现场领取，不接受邮寄等其他方式。购买谈判文件</w:t>
      </w:r>
      <w:r>
        <w:rPr>
          <w:rFonts w:hint="eastAsia" w:cs="Times New Roman" w:asciiTheme="minorEastAsia" w:hAnsiTheme="minorEastAsia"/>
          <w:kern w:val="0"/>
          <w:sz w:val="24"/>
          <w:szCs w:val="24"/>
        </w:rPr>
        <w:t>时需提供以下材料原件或装</w:t>
      </w:r>
      <w:bookmarkStart w:id="41" w:name="_GoBack"/>
      <w:bookmarkEnd w:id="41"/>
      <w:r>
        <w:rPr>
          <w:rFonts w:hint="eastAsia" w:cs="Times New Roman" w:asciiTheme="minorEastAsia" w:hAnsiTheme="minorEastAsia"/>
          <w:kern w:val="0"/>
          <w:sz w:val="24"/>
          <w:szCs w:val="24"/>
        </w:rPr>
        <w:t>订成册加盖单位公章的复印件1份</w:t>
      </w:r>
      <w:r>
        <w:rPr>
          <w:rFonts w:hint="eastAsia" w:ascii="宋体" w:hAnsi="宋体" w:eastAsia="宋体" w:cs="Times New Roman"/>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7.最近连续6个月缴纳社会保障金的银行转账汇款单或相应证明材料（依法不需要缴纳社会保障资金的报价方，应提供相应文件证明其不需要缴纳社会保障资金）；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8.最近连续6个月纳税的银行转账汇款单或相应证明材料（依法免税的报价方，应提供相应文件证明其依法免税）；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w:t>
      </w:r>
      <w:r>
        <w:rPr>
          <w:rFonts w:hint="eastAsia"/>
        </w:rPr>
        <w:t xml:space="preserve"> </w:t>
      </w:r>
      <w:r>
        <w:rPr>
          <w:rFonts w:hint="eastAsia" w:cs="Times New Roman" w:asciiTheme="minorEastAsia" w:hAnsiTheme="minorEastAsia"/>
          <w:kern w:val="0"/>
          <w:sz w:val="24"/>
          <w:szCs w:val="24"/>
        </w:rPr>
        <w:t>良好的商业信誉和健全的财务会计制度证明材料：会计师事务所出具的近3年（不足3年以成立日期起算）审计报告主要内容或公司财务报表，至少应包括资产负债表、利润表及现金流量表；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 相关声明书（包含但不限于以下内容）：①非外资企业或外资控股企业的书面声明；②参加本次采购活动前3年内在经营活动中没有重大违法记录的书面声明；</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（四）谈判文件售价：200/元/份，售后不退。</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六、报价文件递交时间、地点及方式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（一）报价文件递交及谈判时间：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（二）报价文件递交地点：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（三）报价方式：指定专人递交报价文件，不接受邮寄等其他方式。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rPr>
        <w:t>中国招标</w:t>
      </w:r>
      <w:r>
        <w:rPr>
          <w:rFonts w:cs="Times New Roman" w:asciiTheme="minorEastAsia" w:hAnsiTheme="minorEastAsia"/>
          <w:b/>
          <w:kern w:val="0"/>
          <w:sz w:val="24"/>
          <w:szCs w:val="24"/>
        </w:rPr>
        <w:t>网》</w:t>
      </w:r>
      <w:r>
        <w:rPr>
          <w:rFonts w:hint="eastAsia" w:cs="Times New Roman" w:asciiTheme="minorEastAsia" w:hAnsiTheme="minorEastAsia"/>
          <w:b/>
          <w:kern w:val="0"/>
          <w:sz w:val="24"/>
          <w:szCs w:val="24"/>
        </w:rPr>
        <w:t>（</w:t>
      </w:r>
      <w:r>
        <w:fldChar w:fldCharType="begin"/>
      </w:r>
      <w:r>
        <w:instrText xml:space="preserve"> HYPERLINK "http://www.zhaobiao.cn" </w:instrText>
      </w:r>
      <w:r>
        <w:fldChar w:fldCharType="separate"/>
      </w:r>
      <w:r>
        <w:rPr>
          <w:rStyle w:val="22"/>
          <w:rFonts w:asciiTheme="minorEastAsia" w:hAnsiTheme="minorEastAsia"/>
          <w:b/>
          <w:color w:val="auto"/>
          <w:kern w:val="0"/>
          <w:sz w:val="24"/>
          <w:szCs w:val="24"/>
          <w:u w:val="none"/>
        </w:rPr>
        <w:t>www.zhaobiao.cn</w:t>
      </w:r>
      <w:r>
        <w:rPr>
          <w:rStyle w:val="22"/>
          <w:rFonts w:asciiTheme="minorEastAsia" w:hAnsiTheme="minorEastAsia"/>
          <w:b/>
          <w:color w:val="auto"/>
          <w:kern w:val="0"/>
          <w:sz w:val="24"/>
          <w:szCs w:val="24"/>
          <w:u w:val="none"/>
        </w:rPr>
        <w:fldChar w:fldCharType="end"/>
      </w:r>
      <w:r>
        <w:rPr>
          <w:rFonts w:hint="eastAsia" w:cs="Times New Roman" w:asciiTheme="minorEastAsia" w:hAnsiTheme="minorEastAsia"/>
          <w:b/>
          <w:kern w:val="0"/>
          <w:sz w:val="24"/>
          <w:szCs w:val="24"/>
        </w:rPr>
        <w:t>）及我院官网（</w:t>
      </w:r>
      <w:r>
        <w:rPr>
          <w:rFonts w:cs="Times New Roman" w:asciiTheme="minorEastAsia" w:hAnsiTheme="minorEastAsia"/>
          <w:b/>
          <w:kern w:val="0"/>
          <w:sz w:val="24"/>
          <w:szCs w:val="24"/>
        </w:rPr>
        <w:t>www.xnyy.cn</w:t>
      </w:r>
      <w:r>
        <w:rPr>
          <w:rFonts w:hint="eastAsia" w:cs="Times New Roman" w:asciiTheme="minorEastAsia" w:hAnsiTheme="minorEastAsia"/>
          <w:b/>
          <w:kern w:val="0"/>
          <w:sz w:val="24"/>
          <w:szCs w:val="24"/>
        </w:rPr>
        <w:t>）</w:t>
      </w:r>
      <w:r>
        <w:rPr>
          <w:rFonts w:cs="Times New Roman" w:asciiTheme="minorEastAsia" w:hAnsiTheme="minorEastAsia"/>
          <w:b/>
          <w:kern w:val="0"/>
          <w:sz w:val="24"/>
          <w:szCs w:val="24"/>
        </w:rPr>
        <w:t>上发布</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八、采购机构联系方式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陈老师、姚老师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023-68766150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p>
    <w:p>
      <w:pPr>
        <w:spacing w:afterLines="50" w:line="440" w:lineRule="exact"/>
        <w:ind w:left="4167" w:leftChars="432" w:hanging="3299" w:hangingChars="1428"/>
        <w:jc w:val="left"/>
        <w:rPr>
          <w:rFonts w:ascii="宋体" w:hAnsi="宋体" w:eastAsia="宋体" w:cs="Times New Roman"/>
          <w:kern w:val="0"/>
          <w:sz w:val="24"/>
          <w:szCs w:val="24"/>
        </w:rPr>
      </w:pPr>
    </w:p>
    <w:p>
      <w:pPr>
        <w:spacing w:line="440" w:lineRule="exact"/>
        <w:ind w:left="4652" w:leftChars="2310" w:hanging="9" w:hangingChars="4"/>
        <w:rPr>
          <w:rFonts w:ascii="宋体" w:hAnsi="宋体" w:eastAsia="宋体" w:cs="Times New Roman"/>
          <w:kern w:val="0"/>
          <w:sz w:val="24"/>
          <w:szCs w:val="24"/>
        </w:rPr>
      </w:pPr>
      <w:r>
        <w:rPr>
          <w:rFonts w:hint="eastAsia" w:cs="Times New Roman" w:asciiTheme="minorEastAsia" w:hAnsiTheme="minorEastAsia"/>
          <w:kern w:val="0"/>
          <w:sz w:val="24"/>
          <w:szCs w:val="24"/>
        </w:rPr>
        <w:t>物资采购中心</w:t>
      </w:r>
    </w:p>
    <w:p>
      <w:pPr>
        <w:autoSpaceDE w:val="0"/>
        <w:autoSpaceDN w:val="0"/>
        <w:adjustRightInd w:val="0"/>
        <w:spacing w:line="440" w:lineRule="exact"/>
        <w:rPr>
          <w:rFonts w:ascii="宋体" w:hAnsi="宋体" w:eastAsia="宋体" w:cs="Times New Roman"/>
          <w:kern w:val="0"/>
          <w:sz w:val="24"/>
          <w:szCs w:val="24"/>
        </w:rPr>
        <w:sectPr>
          <w:headerReference r:id="rId3" w:type="default"/>
          <w:footerReference r:id="rId4" w:type="default"/>
          <w:pgSz w:w="11906" w:h="16838"/>
          <w:pgMar w:top="2098" w:right="1474" w:bottom="1985" w:left="1588" w:header="851" w:footer="851" w:gutter="0"/>
          <w:pgNumType w:start="1"/>
          <w:cols w:space="425" w:num="1"/>
          <w:docGrid w:type="linesAndChars" w:linePitch="579" w:charSpace="-1844"/>
        </w:sectPr>
      </w:pPr>
    </w:p>
    <w:p>
      <w:pPr>
        <w:pStyle w:val="2"/>
        <w:adjustRightInd w:val="0"/>
        <w:spacing w:line="360" w:lineRule="atLeast"/>
        <w:jc w:val="center"/>
        <w:rPr>
          <w:rFonts w:ascii="黑体" w:hAnsi="黑体" w:eastAsia="黑体"/>
          <w:kern w:val="0"/>
          <w:sz w:val="32"/>
          <w:szCs w:val="32"/>
          <w:lang w:val="zh-CN"/>
        </w:rPr>
      </w:pPr>
      <w:bookmarkStart w:id="4" w:name="_Toc43485652"/>
      <w:bookmarkStart w:id="5" w:name="_Toc285612594"/>
      <w:bookmarkStart w:id="6" w:name="_Toc390713967"/>
      <w:bookmarkStart w:id="7" w:name="_Toc435540979"/>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pacing w:line="36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货物一览表</w:t>
      </w:r>
      <w:bookmarkStart w:id="8" w:name="_Toc285612596"/>
      <w:r>
        <w:rPr>
          <w:rFonts w:ascii="宋体" w:hAnsi="宋体" w:eastAsia="宋体" w:cs="Times New Roman"/>
          <w:kern w:val="0"/>
          <w:sz w:val="24"/>
          <w:szCs w:val="24"/>
        </w:rPr>
        <w:t>及技术</w:t>
      </w:r>
      <w:r>
        <w:rPr>
          <w:rFonts w:hint="eastAsia" w:ascii="宋体" w:hAnsi="宋体" w:eastAsia="宋体" w:cs="Times New Roman"/>
          <w:kern w:val="0"/>
          <w:sz w:val="24"/>
          <w:szCs w:val="24"/>
        </w:rPr>
        <w:t>要求</w:t>
      </w:r>
    </w:p>
    <w:tbl>
      <w:tblPr>
        <w:tblStyle w:val="18"/>
        <w:tblW w:w="5000" w:type="pct"/>
        <w:jc w:val="center"/>
        <w:tblLayout w:type="autofit"/>
        <w:tblCellMar>
          <w:top w:w="0" w:type="dxa"/>
          <w:left w:w="108" w:type="dxa"/>
          <w:bottom w:w="0" w:type="dxa"/>
          <w:right w:w="108" w:type="dxa"/>
        </w:tblCellMar>
      </w:tblPr>
      <w:tblGrid>
        <w:gridCol w:w="814"/>
        <w:gridCol w:w="1988"/>
        <w:gridCol w:w="850"/>
        <w:gridCol w:w="2768"/>
        <w:gridCol w:w="962"/>
        <w:gridCol w:w="851"/>
        <w:gridCol w:w="827"/>
      </w:tblGrid>
      <w:tr>
        <w:tblPrEx>
          <w:tblCellMar>
            <w:top w:w="0" w:type="dxa"/>
            <w:left w:w="108" w:type="dxa"/>
            <w:bottom w:w="0" w:type="dxa"/>
            <w:right w:w="108" w:type="dxa"/>
          </w:tblCellMar>
        </w:tblPrEx>
        <w:trPr>
          <w:trHeight w:val="1105" w:hRule="exac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cs="Times New Roman"/>
                <w:kern w:val="0"/>
                <w:sz w:val="24"/>
                <w:szCs w:val="24"/>
              </w:rPr>
            </w:pPr>
            <w:r>
              <w:rPr>
                <w:rFonts w:ascii="宋体" w:hAnsi="宋体" w:eastAsia="宋体" w:cs="Times New Roman"/>
                <w:kern w:val="0"/>
                <w:sz w:val="24"/>
                <w:szCs w:val="24"/>
              </w:rPr>
              <w:t>包号</w:t>
            </w:r>
          </w:p>
        </w:tc>
        <w:tc>
          <w:tcPr>
            <w:tcW w:w="1988"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eastAsia="宋体" w:cs="Times New Roman"/>
                <w:kern w:val="0"/>
                <w:sz w:val="24"/>
                <w:szCs w:val="24"/>
              </w:rPr>
            </w:pPr>
            <w:r>
              <w:rPr>
                <w:rFonts w:ascii="宋体" w:hAnsi="宋体" w:eastAsia="宋体" w:cs="Times New Roman"/>
                <w:kern w:val="0"/>
                <w:sz w:val="24"/>
                <w:szCs w:val="24"/>
              </w:rPr>
              <w:t>物资名称</w:t>
            </w:r>
          </w:p>
        </w:tc>
        <w:tc>
          <w:tcPr>
            <w:tcW w:w="85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eastAsia="宋体" w:cs="Times New Roman"/>
                <w:kern w:val="0"/>
                <w:sz w:val="24"/>
                <w:szCs w:val="24"/>
              </w:rPr>
            </w:pPr>
            <w:r>
              <w:rPr>
                <w:rFonts w:ascii="宋体" w:hAnsi="宋体" w:eastAsia="宋体" w:cs="Times New Roman"/>
                <w:kern w:val="0"/>
                <w:sz w:val="24"/>
                <w:szCs w:val="24"/>
              </w:rPr>
              <w:t>规格型号</w:t>
            </w:r>
          </w:p>
        </w:tc>
        <w:tc>
          <w:tcPr>
            <w:tcW w:w="276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cs="Times New Roman"/>
                <w:kern w:val="0"/>
                <w:sz w:val="24"/>
                <w:szCs w:val="24"/>
              </w:rPr>
            </w:pPr>
            <w:r>
              <w:rPr>
                <w:rFonts w:hint="eastAsia" w:cs="Times New Roman" w:asciiTheme="minorEastAsia" w:hAnsiTheme="minorEastAsia"/>
                <w:kern w:val="0"/>
                <w:sz w:val="24"/>
                <w:szCs w:val="24"/>
              </w:rPr>
              <w:t>技术指标参数要求</w:t>
            </w:r>
          </w:p>
        </w:tc>
        <w:tc>
          <w:tcPr>
            <w:tcW w:w="962"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eastAsia="宋体" w:cs="Times New Roman"/>
                <w:kern w:val="0"/>
                <w:sz w:val="24"/>
                <w:szCs w:val="24"/>
              </w:rPr>
            </w:pPr>
            <w:r>
              <w:rPr>
                <w:rFonts w:ascii="宋体" w:hAnsi="宋体" w:eastAsia="宋体" w:cs="Times New Roman"/>
                <w:kern w:val="0"/>
                <w:sz w:val="24"/>
                <w:szCs w:val="24"/>
              </w:rPr>
              <w:t>计量</w:t>
            </w:r>
          </w:p>
          <w:p>
            <w:pPr>
              <w:widowControl/>
              <w:spacing w:line="360" w:lineRule="exact"/>
              <w:jc w:val="center"/>
              <w:rPr>
                <w:rFonts w:ascii="宋体" w:hAnsi="宋体" w:eastAsia="宋体" w:cs="Times New Roman"/>
                <w:kern w:val="0"/>
                <w:sz w:val="24"/>
                <w:szCs w:val="24"/>
              </w:rPr>
            </w:pPr>
            <w:r>
              <w:rPr>
                <w:rFonts w:ascii="宋体" w:hAnsi="宋体" w:eastAsia="宋体" w:cs="Times New Roman"/>
                <w:kern w:val="0"/>
                <w:sz w:val="24"/>
                <w:szCs w:val="24"/>
              </w:rPr>
              <w:t>单位</w:t>
            </w:r>
          </w:p>
        </w:tc>
        <w:tc>
          <w:tcPr>
            <w:tcW w:w="8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eastAsia="宋体" w:cs="Times New Roman"/>
                <w:kern w:val="0"/>
                <w:sz w:val="24"/>
                <w:szCs w:val="24"/>
              </w:rPr>
            </w:pPr>
            <w:r>
              <w:rPr>
                <w:rFonts w:ascii="宋体" w:hAnsi="宋体" w:eastAsia="宋体" w:cs="Times New Roman"/>
                <w:kern w:val="0"/>
                <w:sz w:val="24"/>
                <w:szCs w:val="24"/>
              </w:rPr>
              <w:t>数量</w:t>
            </w:r>
          </w:p>
        </w:tc>
        <w:tc>
          <w:tcPr>
            <w:tcW w:w="827"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eastAsia="宋体" w:cs="Times New Roman"/>
                <w:kern w:val="0"/>
                <w:sz w:val="24"/>
                <w:szCs w:val="24"/>
              </w:rPr>
            </w:pPr>
            <w:r>
              <w:rPr>
                <w:rFonts w:ascii="宋体" w:hAnsi="宋体" w:eastAsia="宋体" w:cs="Times New Roman"/>
                <w:kern w:val="0"/>
                <w:sz w:val="24"/>
                <w:szCs w:val="24"/>
              </w:rPr>
              <w:t>备注</w:t>
            </w:r>
          </w:p>
        </w:tc>
      </w:tr>
      <w:tr>
        <w:tblPrEx>
          <w:tblCellMar>
            <w:top w:w="0" w:type="dxa"/>
            <w:left w:w="108" w:type="dxa"/>
            <w:bottom w:w="0" w:type="dxa"/>
            <w:right w:w="108" w:type="dxa"/>
          </w:tblCellMar>
        </w:tblPrEx>
        <w:trPr>
          <w:trHeight w:val="1326"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1</w:t>
            </w:r>
          </w:p>
        </w:tc>
        <w:tc>
          <w:tcPr>
            <w:tcW w:w="1988"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文档管理系统</w:t>
            </w:r>
          </w:p>
        </w:tc>
        <w:tc>
          <w:tcPr>
            <w:tcW w:w="850"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w:t>
            </w:r>
          </w:p>
        </w:tc>
        <w:tc>
          <w:tcPr>
            <w:tcW w:w="2768" w:type="dxa"/>
            <w:tcBorders>
              <w:top w:val="single" w:color="auto" w:sz="4" w:space="0"/>
              <w:left w:val="single" w:color="auto" w:sz="4" w:space="0"/>
              <w:bottom w:val="single" w:color="auto" w:sz="4" w:space="0"/>
              <w:right w:val="single" w:color="auto" w:sz="4" w:space="0"/>
            </w:tcBorders>
            <w:vAlign w:val="center"/>
          </w:tcPr>
          <w:p>
            <w:pPr>
              <w:spacing w:line="360" w:lineRule="exact"/>
              <w:ind w:firstLine="227" w:firstLineChars="98"/>
              <w:jc w:val="left"/>
              <w:rPr>
                <w:rFonts w:ascii="宋体" w:hAnsi="宋体" w:eastAsia="宋体" w:cs="Times New Roman"/>
                <w:kern w:val="0"/>
                <w:sz w:val="24"/>
                <w:szCs w:val="24"/>
              </w:rPr>
            </w:pPr>
            <w:r>
              <w:rPr>
                <w:rFonts w:hint="eastAsia" w:ascii="宋体" w:hAnsi="宋体" w:eastAsia="宋体" w:cs="Times New Roman"/>
                <w:kern w:val="0"/>
                <w:sz w:val="24"/>
                <w:szCs w:val="24"/>
              </w:rPr>
              <w:t>详见谈判文件附件21</w:t>
            </w:r>
          </w:p>
        </w:tc>
        <w:tc>
          <w:tcPr>
            <w:tcW w:w="962"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项</w:t>
            </w:r>
          </w:p>
        </w:tc>
        <w:tc>
          <w:tcPr>
            <w:tcW w:w="851" w:type="dxa"/>
            <w:tcBorders>
              <w:top w:val="single" w:color="auto" w:sz="4" w:space="0"/>
              <w:left w:val="nil"/>
              <w:bottom w:val="single" w:color="auto" w:sz="4" w:space="0"/>
              <w:right w:val="single" w:color="auto" w:sz="4" w:space="0"/>
            </w:tcBorders>
            <w:noWrap/>
            <w:vAlign w:val="center"/>
          </w:tcPr>
          <w:p>
            <w:pPr>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1</w:t>
            </w:r>
          </w:p>
        </w:tc>
        <w:tc>
          <w:tcPr>
            <w:tcW w:w="827"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宋体" w:hAnsi="宋体" w:eastAsia="宋体" w:cs="Times New Roman"/>
                <w:kern w:val="0"/>
                <w:sz w:val="24"/>
                <w:szCs w:val="24"/>
              </w:rPr>
            </w:pPr>
          </w:p>
        </w:tc>
      </w:tr>
      <w:bookmarkEnd w:id="8"/>
    </w:tbl>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w:t>
      </w:r>
      <w:r>
        <w:rPr>
          <w:rFonts w:hint="eastAsia" w:ascii="宋体" w:hAnsi="宋体" w:eastAsia="宋体" w:cs="Times New Roman"/>
          <w:kern w:val="0"/>
          <w:sz w:val="24"/>
          <w:szCs w:val="24"/>
          <w:lang w:val="zh-CN"/>
        </w:rPr>
        <w:t>（有1项不满足即按无效报价处理）</w:t>
      </w:r>
      <w:r>
        <w:rPr>
          <w:rFonts w:hint="eastAsia" w:cs="Times New Roman" w:asciiTheme="minorEastAsia" w:hAnsiTheme="minorEastAsia"/>
          <w:kern w:val="0"/>
          <w:sz w:val="24"/>
          <w:szCs w:val="24"/>
          <w:lang w:val="zh-CN"/>
        </w:rPr>
        <w:t>，一般技术指标参数不作标记。</w:t>
      </w:r>
      <w:r>
        <w:rPr>
          <w:rFonts w:hint="eastAsia" w:ascii="宋体" w:hAnsi="宋体" w:eastAsia="宋体" w:cs="Times New Roman"/>
          <w:kern w:val="0"/>
          <w:sz w:val="24"/>
          <w:szCs w:val="24"/>
          <w:lang w:val="zh-CN"/>
        </w:rPr>
        <w:t>报价方须提供技术支持资料</w:t>
      </w:r>
      <w:r>
        <w:rPr>
          <w:rFonts w:hint="eastAsia" w:ascii="宋体" w:hAnsi="宋体" w:eastAsia="宋体" w:cs="Times New Roman"/>
          <w:kern w:val="0"/>
          <w:sz w:val="24"/>
          <w:szCs w:val="24"/>
        </w:rPr>
        <w:t>，包括制造商公开发布的资料（含制造商出具的产品规格表或检测机构出具的检测报告）。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ascii="宋体" w:hAnsi="宋体" w:eastAsia="宋体" w:cs="Times New Roman"/>
          <w:kern w:val="0"/>
          <w:sz w:val="24"/>
          <w:szCs w:val="24"/>
          <w:lang w:val="zh-CN"/>
        </w:rPr>
        <w:t>★（一）</w:t>
      </w:r>
      <w:r>
        <w:rPr>
          <w:rFonts w:hint="eastAsia" w:cs="Times New Roman" w:asciiTheme="minorEastAsia" w:hAnsiTheme="minorEastAsia"/>
          <w:kern w:val="0"/>
          <w:sz w:val="24"/>
          <w:szCs w:val="24"/>
          <w:lang w:val="zh-CN"/>
        </w:rPr>
        <w:t>交货时间：</w:t>
      </w:r>
      <w:r>
        <w:rPr>
          <w:rFonts w:hint="eastAsia" w:cs="Times New Roman" w:asciiTheme="minorEastAsia" w:hAnsiTheme="minorEastAsia"/>
          <w:kern w:val="0"/>
          <w:sz w:val="24"/>
          <w:szCs w:val="24"/>
          <w:u w:val="single"/>
        </w:rPr>
        <w:t>在采购合同签订后180个日历日</w:t>
      </w:r>
      <w:r>
        <w:rPr>
          <w:rFonts w:cs="Times New Roman" w:asciiTheme="minorEastAsia" w:hAnsiTheme="minorEastAsia"/>
          <w:kern w:val="0"/>
          <w:sz w:val="24"/>
          <w:szCs w:val="24"/>
          <w:u w:val="single"/>
        </w:rPr>
        <w:t>内</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★（二）售后服务</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保修期：自验收合格之日起，产品免费保修期至少</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产品免费保修期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ascii="楷体" w:hAnsi="楷体" w:eastAsia="楷体" w:cs="Times New Roman"/>
          <w:sz w:val="28"/>
          <w:szCs w:val="28"/>
        </w:rPr>
        <w:t xml:space="preserve"> </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2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rPr>
        <w:t>4</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rPr>
        <w:t>24</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95%</w:t>
      </w:r>
      <w:r>
        <w:rPr>
          <w:rFonts w:hint="eastAsia" w:cs="Arial" w:asciiTheme="minorEastAsia" w:hAnsiTheme="minorEastAsia"/>
          <w:sz w:val="24"/>
          <w:szCs w:val="24"/>
          <w:u w:val="single"/>
        </w:rPr>
        <w:t xml:space="preserve"> </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6.凡涉及与我院HIS、LIS、PACS、电生理系统、病理信息系统等系统连接的设备，要求具有标准数字接口，若产品没有匹配的接口，由成交供应商负责改造并承担相应费用。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所有设备应在报价文件商务条款中列出第4-5年全保费用金额，5年以后全保费用金额（如：免费保修3年，第4-5年全保费用不超过合同成交价的3%，5年以后全保费用不超过合同成交价的5%），未列出的按该项条款执行。</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信息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9.</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★（三）</w:t>
      </w:r>
      <w:r>
        <w:rPr>
          <w:rFonts w:hint="eastAsia" w:ascii="宋体" w:hAnsi="宋体" w:eastAsia="宋体" w:cs="Times New Roman"/>
          <w:kern w:val="0"/>
          <w:sz w:val="24"/>
          <w:szCs w:val="24"/>
        </w:rPr>
        <w:t>专利权和保密要求</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报价方应保证使用方在使用该货物或其任何一部分时，不受第三方侵权指控。同时，报价方保证不向第三方泄露采购机构提供的技术文件等资料。</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spacing w:line="440" w:lineRule="exact"/>
        <w:ind w:firstLine="462" w:firstLineChars="200"/>
        <w:rPr>
          <w:rFonts w:ascii="宋体" w:hAnsi="宋体" w:eastAsia="宋体" w:cs="Times New Roman"/>
          <w:kern w:val="0"/>
          <w:sz w:val="24"/>
          <w:szCs w:val="24"/>
          <w:lang w:val="zh-CN"/>
        </w:rPr>
      </w:pPr>
    </w:p>
    <w:p>
      <w:pPr>
        <w:spacing w:line="440" w:lineRule="exact"/>
        <w:ind w:firstLine="462" w:firstLineChars="200"/>
        <w:rPr>
          <w:rFonts w:ascii="宋体" w:hAnsi="宋体" w:eastAsia="宋体" w:cs="Times New Roman"/>
          <w:b/>
          <w:kern w:val="0"/>
          <w:sz w:val="24"/>
          <w:szCs w:val="24"/>
        </w:rPr>
        <w:sectPr>
          <w:headerReference r:id="rId5" w:type="default"/>
          <w:footerReference r:id="rId6" w:type="default"/>
          <w:pgSz w:w="11906" w:h="16838"/>
          <w:pgMar w:top="2098" w:right="1474" w:bottom="1985" w:left="1588" w:header="851" w:footer="851" w:gutter="0"/>
          <w:cols w:space="425" w:num="1"/>
          <w:docGrid w:type="linesAndChars" w:linePitch="579" w:charSpace="-1844"/>
        </w:sectPr>
      </w:pPr>
    </w:p>
    <w:p>
      <w:pPr>
        <w:pStyle w:val="2"/>
        <w:adjustRightInd w:val="0"/>
        <w:snapToGrid w:val="0"/>
        <w:spacing w:line="360" w:lineRule="atLeast"/>
        <w:jc w:val="center"/>
        <w:rPr>
          <w:rFonts w:ascii="黑体" w:hAnsi="黑体" w:eastAsia="黑体"/>
          <w:kern w:val="0"/>
          <w:sz w:val="32"/>
          <w:szCs w:val="32"/>
        </w:rPr>
      </w:pPr>
      <w:bookmarkStart w:id="9" w:name="_Toc43485653"/>
      <w:bookmarkStart w:id="10" w:name="_Toc390713968"/>
      <w:bookmarkStart w:id="11" w:name="_Toc435540980"/>
      <w:bookmarkStart w:id="12" w:name="_Toc285612601"/>
      <w:bookmarkStart w:id="13" w:name="_Toc240432230"/>
      <w:r>
        <w:rPr>
          <w:rFonts w:hint="eastAsia" w:ascii="黑体" w:hAnsi="黑体" w:eastAsia="黑体"/>
          <w:kern w:val="0"/>
          <w:sz w:val="32"/>
          <w:szCs w:val="32"/>
        </w:rPr>
        <w:t xml:space="preserve">第三部分  </w:t>
      </w:r>
      <w:r>
        <w:rPr>
          <w:rFonts w:hint="eastAsia" w:ascii="黑体" w:hAnsi="黑体" w:eastAsia="黑体"/>
          <w:kern w:val="0"/>
          <w:sz w:val="32"/>
          <w:szCs w:val="32"/>
          <w:lang w:val="zh-CN"/>
        </w:rPr>
        <w:t>报价方</w:t>
      </w:r>
      <w:r>
        <w:rPr>
          <w:rFonts w:hint="eastAsia" w:ascii="黑体" w:hAnsi="黑体" w:eastAsia="黑体"/>
          <w:kern w:val="0"/>
          <w:sz w:val="32"/>
          <w:szCs w:val="32"/>
        </w:rPr>
        <w:t>须知</w:t>
      </w:r>
      <w:bookmarkEnd w:id="9"/>
      <w:bookmarkEnd w:id="10"/>
      <w:bookmarkEnd w:id="11"/>
      <w:bookmarkEnd w:id="12"/>
      <w:bookmarkEnd w:id="13"/>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jc w:val="center"/>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说</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明</w:t>
      </w:r>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（一）概述</w:t>
      </w:r>
    </w:p>
    <w:p>
      <w:pPr>
        <w:autoSpaceDE w:val="0"/>
        <w:autoSpaceDN w:val="0"/>
        <w:spacing w:line="360" w:lineRule="atLeas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snapToGrid w:val="0"/>
          <w:kern w:val="0"/>
          <w:sz w:val="24"/>
          <w:szCs w:val="24"/>
          <w:lang w:val="zh-CN"/>
        </w:rPr>
        <w:t>本谈判文件仅适用于《采购公告》中所述采购项目的谈判采购；</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（二）定义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1.“采购项目”系指本谈判文件里描述的所需采购的货物和相关服务；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2.“采购机构”系指组织本次谈判的</w:t>
      </w:r>
      <w:r>
        <w:rPr>
          <w:rFonts w:hint="eastAsia" w:ascii="宋体" w:hAnsi="宋体" w:eastAsia="宋体" w:cs="Times New Roman"/>
          <w:snapToGrid w:val="0"/>
          <w:kern w:val="0"/>
          <w:sz w:val="24"/>
          <w:szCs w:val="24"/>
          <w:u w:val="single"/>
          <w:lang w:val="zh-CN"/>
        </w:rPr>
        <w:t xml:space="preserve">  物资采购中心  </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3.“报价方”系指从采购机构按规定获取谈判文件，并提交报价文件的供应商；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4.“成交供应商”系指经过谈判评审，确定成交的报价方；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5.“货物”系指成交供应商按谈判文件规定，所提供的各种形态和种类的物品，包括设备、产品、备品备件、工具、手册等；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6.“服务”系指成交供应商按谈判文件规定，必须承担的运输、安装、调试、技术协助、培训、维修、配件供应等义务。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（三）合格的报价方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1.能够遵守国家和军队的有关法律、法规和本次谈判的有关规定；</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2.符合《采购公告》所述报价人的资格要求和特定资格条件，并有供货能力的供应商；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3.能够承担谈判报价及合同履约中应承担的全部责任与义务。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（四）合格的货物和相关服务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2.报价方提供的货物必须是全新的、未使用过的，货物和相关服务应当符合谈判文件的要求，并且其质量完全符合国家标准、军用标准或行业标准。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（五）报价委托</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如报价方代表不是法定代表人，须持有《法定代表人授权书》（</w:t>
      </w:r>
      <w:r>
        <w:rPr>
          <w:rFonts w:hint="eastAsia" w:ascii="宋体" w:hAnsi="宋体" w:eastAsia="宋体" w:cs="Times New Roman"/>
          <w:kern w:val="0"/>
          <w:sz w:val="24"/>
          <w:szCs w:val="24"/>
          <w:lang w:val="zh-CN"/>
        </w:rPr>
        <w:t>附件17</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ascii="宋体" w:hAnsi="宋体" w:eastAsia="宋体" w:cs="Times New Roman"/>
          <w:kern w:val="0"/>
          <w:sz w:val="24"/>
          <w:szCs w:val="24"/>
          <w:lang w:val="zh-CN"/>
        </w:rPr>
        <w:t>1.</w:t>
      </w:r>
      <w:r>
        <w:rPr>
          <w:rFonts w:hint="eastAsia" w:cs="Times New Roman" w:asciiTheme="minorEastAsia" w:hAnsiTheme="minorEastAsia"/>
          <w:kern w:val="0"/>
          <w:sz w:val="24"/>
          <w:szCs w:val="24"/>
          <w:lang w:val="zh-CN"/>
        </w:rPr>
        <w:t xml:space="preserve"> 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cs="Times New Roman" w:asciiTheme="minorEastAsia" w:hAnsiTheme="minorEastAsia"/>
          <w:kern w:val="0"/>
          <w:sz w:val="24"/>
          <w:szCs w:val="24"/>
          <w:lang w:val="zh-CN"/>
        </w:rPr>
        <w:t>2.预留质量保证金为合同总金额的</w:t>
      </w:r>
      <w:r>
        <w:rPr>
          <w:rFonts w:hint="eastAsia" w:cs="Times New Roman" w:asciiTheme="minorEastAsia" w:hAnsiTheme="minorEastAsia"/>
          <w:kern w:val="0"/>
          <w:sz w:val="24"/>
          <w:szCs w:val="24"/>
          <w:u w:val="single"/>
          <w:lang w:val="zh-CN"/>
        </w:rPr>
        <w:t xml:space="preserve">  5%  </w:t>
      </w:r>
      <w:r>
        <w:rPr>
          <w:rFonts w:hint="eastAsia" w:cs="Times New Roman" w:asciiTheme="minorEastAsia" w:hAnsiTheme="minorEastAsia"/>
          <w:kern w:val="0"/>
          <w:sz w:val="24"/>
          <w:szCs w:val="24"/>
          <w:lang w:val="zh-CN"/>
        </w:rPr>
        <w:t>，</w:t>
      </w:r>
      <w:r>
        <w:rPr>
          <w:rFonts w:hint="eastAsia" w:cs="Times New Roman" w:asciiTheme="minorEastAsia" w:hAnsiTheme="minorEastAsia"/>
          <w:kern w:val="0"/>
          <w:sz w:val="24"/>
          <w:szCs w:val="24"/>
        </w:rPr>
        <w:t>自验收合格之日起，</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保修期内 </w:t>
      </w:r>
      <w:r>
        <w:rPr>
          <w:rFonts w:hint="eastAsia" w:cs="Times New Roman" w:asciiTheme="minorEastAsia" w:hAnsiTheme="minorEastAsia"/>
          <w:kern w:val="0"/>
          <w:sz w:val="24"/>
          <w:szCs w:val="24"/>
        </w:rPr>
        <w:t>正常使用且无质量问题时，一次性结清</w:t>
      </w:r>
      <w:r>
        <w:rPr>
          <w:rFonts w:hint="eastAsia" w:ascii="宋体" w:hAnsi="宋体" w:eastAsia="宋体" w:cs="Times New Roman"/>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（七）谈判报价费用</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不论谈判报价结果如何，报价方均应自行承担与谈判报价有关的全部费用。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（八）信息发布</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本采购项目需要公开的有关信息，采购机构均</w:t>
      </w:r>
      <w:r>
        <w:rPr>
          <w:rFonts w:hint="eastAsia" w:cs="Times New Roman" w:asciiTheme="minorEastAsia" w:hAnsiTheme="minorEastAsia"/>
          <w:snapToGrid w:val="0"/>
          <w:kern w:val="0"/>
          <w:sz w:val="24"/>
          <w:szCs w:val="24"/>
          <w:lang w:val="zh-CN"/>
        </w:rPr>
        <w:t>通过</w:t>
      </w:r>
      <w:r>
        <w:rPr>
          <w:rFonts w:cs="Times New Roman" w:asciiTheme="minorEastAsia" w:hAnsiTheme="minorEastAsia"/>
          <w:snapToGrid w:val="0"/>
          <w:kern w:val="0"/>
          <w:sz w:val="24"/>
          <w:szCs w:val="24"/>
        </w:rPr>
        <w:t>《</w:t>
      </w:r>
      <w:r>
        <w:rPr>
          <w:rFonts w:hint="eastAsia" w:cs="Times New Roman" w:asciiTheme="minorEastAsia" w:hAnsiTheme="minorEastAsia"/>
          <w:snapToGrid w:val="0"/>
          <w:kern w:val="0"/>
          <w:sz w:val="24"/>
          <w:szCs w:val="24"/>
        </w:rPr>
        <w:t>中国招标</w:t>
      </w:r>
      <w:r>
        <w:rPr>
          <w:rFonts w:cs="Times New Roman" w:asciiTheme="minorEastAsia" w:hAnsiTheme="minorEastAsia"/>
          <w:snapToGrid w:val="0"/>
          <w:kern w:val="0"/>
          <w:sz w:val="24"/>
          <w:szCs w:val="24"/>
        </w:rPr>
        <w:t>网》</w:t>
      </w:r>
      <w:r>
        <w:rPr>
          <w:rFonts w:hint="eastAsia" w:cs="Times New Roman" w:asciiTheme="minorEastAsia" w:hAnsiTheme="minorEastAsia"/>
          <w:snapToGrid w:val="0"/>
          <w:kern w:val="0"/>
          <w:sz w:val="24"/>
          <w:szCs w:val="24"/>
        </w:rPr>
        <w:t>（</w:t>
      </w:r>
      <w:r>
        <w:fldChar w:fldCharType="begin"/>
      </w:r>
      <w:r>
        <w:instrText xml:space="preserve"> HYPERLINK "http://www.zhaobiao.cn" </w:instrText>
      </w:r>
      <w:r>
        <w:fldChar w:fldCharType="separate"/>
      </w:r>
      <w:r>
        <w:rPr>
          <w:rStyle w:val="22"/>
          <w:rFonts w:asciiTheme="minorEastAsia" w:hAnsiTheme="minorEastAsia"/>
          <w:snapToGrid w:val="0"/>
          <w:color w:val="auto"/>
          <w:kern w:val="0"/>
          <w:sz w:val="24"/>
          <w:szCs w:val="24"/>
          <w:u w:val="none"/>
        </w:rPr>
        <w:t>www.zhaobiao.cn</w:t>
      </w:r>
      <w:r>
        <w:rPr>
          <w:rStyle w:val="22"/>
          <w:rFonts w:asciiTheme="minorEastAsia" w:hAnsiTheme="minorEastAsia"/>
          <w:snapToGrid w:val="0"/>
          <w:color w:val="auto"/>
          <w:kern w:val="0"/>
          <w:sz w:val="24"/>
          <w:szCs w:val="24"/>
          <w:u w:val="none"/>
        </w:rPr>
        <w:fldChar w:fldCharType="end"/>
      </w:r>
      <w:r>
        <w:rPr>
          <w:rFonts w:hint="eastAsia" w:cs="Times New Roman" w:asciiTheme="minorEastAsia" w:hAnsiTheme="minorEastAsia"/>
          <w:snapToGrid w:val="0"/>
          <w:kern w:val="0"/>
          <w:sz w:val="24"/>
          <w:szCs w:val="24"/>
        </w:rPr>
        <w:t>）及医院官网（</w:t>
      </w:r>
      <w:r>
        <w:rPr>
          <w:rFonts w:cs="Times New Roman" w:asciiTheme="minorEastAsia" w:hAnsiTheme="minorEastAsia"/>
          <w:snapToGrid w:val="0"/>
          <w:kern w:val="0"/>
          <w:sz w:val="24"/>
          <w:szCs w:val="24"/>
        </w:rPr>
        <w:t>www.xnyy.cn</w:t>
      </w:r>
      <w:r>
        <w:rPr>
          <w:rFonts w:hint="eastAsia" w:cs="Times New Roman" w:asciiTheme="minorEastAsia" w:hAnsiTheme="minorEastAsia"/>
          <w:snapToGrid w:val="0"/>
          <w:kern w:val="0"/>
          <w:sz w:val="24"/>
          <w:szCs w:val="24"/>
        </w:rPr>
        <w:t>）</w:t>
      </w:r>
      <w:r>
        <w:rPr>
          <w:rFonts w:hint="eastAsia" w:cs="Times New Roman" w:asciiTheme="minorEastAsia" w:hAnsiTheme="minorEastAsia"/>
          <w:snapToGrid w:val="0"/>
          <w:kern w:val="0"/>
          <w:sz w:val="24"/>
          <w:szCs w:val="24"/>
          <w:lang w:val="zh-CN"/>
        </w:rPr>
        <w:t>公开发布</w:t>
      </w:r>
      <w:r>
        <w:rPr>
          <w:rFonts w:hint="eastAsia" w:ascii="宋体" w:hAnsi="宋体" w:eastAsia="宋体" w:cs="Times New Roman"/>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pPr>
        <w:autoSpaceDE w:val="0"/>
        <w:autoSpaceDN w:val="0"/>
        <w:spacing w:line="440" w:lineRule="exact"/>
        <w:ind w:firstLine="462" w:firstLineChars="200"/>
        <w:rPr>
          <w:rFonts w:ascii="宋体" w:hAnsi="宋体" w:eastAsia="宋体" w:cs="Times New Roman"/>
          <w:kern w:val="0"/>
          <w:sz w:val="24"/>
          <w:szCs w:val="24"/>
          <w:lang w:val="zh-CN"/>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二、谈判</w:t>
      </w:r>
      <w:r>
        <w:rPr>
          <w:rFonts w:ascii="宋体" w:hAnsi="宋体" w:eastAsia="宋体" w:cs="Times New Roman"/>
          <w:kern w:val="0"/>
          <w:sz w:val="24"/>
          <w:szCs w:val="24"/>
        </w:rPr>
        <w:t>文件</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（一）谈判文件的内容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谈判文件由采购公告、采购项目技术和商务要求、报价方须知、合同样本、附件/报价文件格式等内容构成。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谈判文件以中文编写。纸质谈判文件与电子版谈判文件具有同等法律效力，两者出现不一致时，以纸质谈判文件为准。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（二）谈判文件的澄清</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所有报价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（三）谈判文件的修改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1.报价截止时间前，采购机构可对已发出的谈判文件进行修改。谈判文件修改内容是谈判文件的组成部分。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3.为使报价方有足够时间修改报价文件，采购机构可酌情推迟报价文件提交截止时间和谈判时间，并在报价文件提交截止时间3日前以书面形式通知所有报价方。</w:t>
      </w:r>
    </w:p>
    <w:p>
      <w:pPr>
        <w:spacing w:line="440" w:lineRule="exact"/>
        <w:ind w:firstLine="462" w:firstLineChars="200"/>
        <w:rPr>
          <w:rFonts w:ascii="宋体" w:hAnsi="宋体" w:eastAsia="宋体" w:cs="Times New Roman"/>
          <w:snapToGrid w:val="0"/>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报价文件编制</w:t>
      </w:r>
    </w:p>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（一）注意事项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（二）报价文件的语言及计量单位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1.报价文件和来往信函均以中文书写。确有需要时，相关内容可以使用其他语言书写，但必须同时提供中文译文，以中文译文为准。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2.报价文件中所使用的计量单位，除谈判文件中有特殊要求外，均采用国家法定计量单位。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（三）报价文件组成（包括两部分：报价书、资格证明文件）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1.报价书包括：</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(1)报价函（附件1）</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(2)报价一览表（附件2）</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hint="eastAsia" w:cs="Times New Roman" w:asciiTheme="minorEastAsia" w:hAnsiTheme="minorEastAsia"/>
          <w:snapToGrid w:val="0"/>
          <w:kern w:val="0"/>
          <w:sz w:val="24"/>
          <w:szCs w:val="24"/>
        </w:rPr>
        <w:t>分项报价表</w:t>
      </w:r>
      <w:r>
        <w:rPr>
          <w:rFonts w:hint="eastAsia" w:ascii="宋体" w:hAnsi="宋体" w:eastAsia="宋体" w:cs="Times New Roman"/>
          <w:kern w:val="0"/>
          <w:sz w:val="24"/>
          <w:szCs w:val="24"/>
        </w:rPr>
        <w:t>（附件3）</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hint="eastAsia" w:ascii="宋体" w:hAnsi="宋体" w:eastAsia="宋体" w:cs="Times New Roman"/>
          <w:snapToGrid w:val="0"/>
          <w:kern w:val="0"/>
          <w:sz w:val="24"/>
          <w:szCs w:val="24"/>
        </w:rPr>
        <w:t>货物简要说明一览表（附件4）</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(5)主要技术性能参数表（附件5）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(6)技术指标参数响应偏离表（附件6）</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(7)主要商务条款响应偏离表（附件7）</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(8)交货清单（附件8）</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w:t>
      </w:r>
      <w:r>
        <w:rPr>
          <w:rFonts w:hint="eastAsia" w:cs="Times New Roman" w:asciiTheme="minorEastAsia" w:hAnsiTheme="minorEastAsia"/>
          <w:kern w:val="0"/>
          <w:sz w:val="24"/>
          <w:szCs w:val="24"/>
        </w:rPr>
        <w:t>报价方售后服务承诺</w:t>
      </w:r>
      <w:r>
        <w:rPr>
          <w:rFonts w:hint="eastAsia" w:ascii="宋体" w:hAnsi="宋体" w:eastAsia="宋体" w:cs="Times New Roman"/>
          <w:kern w:val="0"/>
          <w:sz w:val="24"/>
          <w:szCs w:val="24"/>
        </w:rPr>
        <w:t>（附件9）</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w:t>
      </w:r>
      <w:r>
        <w:rPr>
          <w:rFonts w:hint="eastAsia" w:cs="Times New Roman" w:asciiTheme="minorEastAsia" w:hAnsiTheme="minorEastAsia"/>
          <w:snapToGrid w:val="0"/>
          <w:kern w:val="0"/>
          <w:sz w:val="24"/>
          <w:szCs w:val="24"/>
          <w:lang w:val="zh-CN"/>
        </w:rPr>
        <w:t>生产厂家售后服务承诺（进口设备由总代提供，附件10</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w:t>
      </w:r>
      <w:r>
        <w:rPr>
          <w:rFonts w:hint="eastAsia" w:cs="Times New Roman" w:asciiTheme="minorEastAsia" w:hAnsiTheme="minorEastAsia"/>
          <w:snapToGrid w:val="0"/>
          <w:kern w:val="0"/>
          <w:sz w:val="24"/>
          <w:szCs w:val="24"/>
          <w:lang w:val="zh-CN"/>
        </w:rPr>
        <w:t>近3年成交案例及同类项目案例</w:t>
      </w:r>
      <w:r>
        <w:rPr>
          <w:rFonts w:hint="eastAsia" w:ascii="宋体" w:hAnsi="宋体" w:eastAsia="宋体" w:cs="Times New Roman"/>
          <w:kern w:val="0"/>
          <w:sz w:val="24"/>
          <w:szCs w:val="24"/>
        </w:rPr>
        <w:t>（附件11）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snapToGrid w:val="0"/>
          <w:kern w:val="0"/>
          <w:sz w:val="24"/>
          <w:szCs w:val="24"/>
          <w:lang w:val="zh-CN"/>
        </w:rPr>
        <w:t>(12)</w:t>
      </w:r>
      <w:r>
        <w:rPr>
          <w:rFonts w:hint="eastAsia" w:cs="Times New Roman" w:asciiTheme="minorEastAsia" w:hAnsiTheme="minorEastAsia"/>
          <w:kern w:val="0"/>
          <w:sz w:val="24"/>
          <w:szCs w:val="24"/>
        </w:rPr>
        <w:t>产品相关检测报告</w:t>
      </w:r>
    </w:p>
    <w:p>
      <w:pPr>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(13)</w:t>
      </w:r>
      <w:r>
        <w:rPr>
          <w:rFonts w:hint="eastAsia" w:cs="Times New Roman" w:asciiTheme="minorEastAsia" w:hAnsiTheme="minorEastAsia"/>
          <w:kern w:val="0"/>
          <w:sz w:val="24"/>
          <w:szCs w:val="24"/>
        </w:rPr>
        <w:t>技术评审表（附件12）</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(14)</w:t>
      </w:r>
      <w:r>
        <w:rPr>
          <w:rFonts w:hint="eastAsia" w:cs="Times New Roman" w:asciiTheme="minorEastAsia" w:hAnsiTheme="minorEastAsia"/>
          <w:kern w:val="0"/>
          <w:sz w:val="24"/>
          <w:szCs w:val="24"/>
        </w:rPr>
        <w:t>商务评审表（附件13）</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(15)</w:t>
      </w:r>
      <w:r>
        <w:rPr>
          <w:rFonts w:hint="eastAsia" w:cs="Times New Roman" w:asciiTheme="minorEastAsia" w:hAnsiTheme="minorEastAsia"/>
          <w:kern w:val="0"/>
          <w:sz w:val="24"/>
          <w:szCs w:val="24"/>
        </w:rPr>
        <w:t>报价方认为需要加以说明的其他内容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(16)报价方</w:t>
      </w:r>
      <w:r>
        <w:rPr>
          <w:rFonts w:hint="eastAsia" w:cs="Times New Roman" w:asciiTheme="minorEastAsia" w:hAnsiTheme="minorEastAsia"/>
          <w:kern w:val="0"/>
          <w:sz w:val="24"/>
          <w:szCs w:val="24"/>
        </w:rPr>
        <w:t>可以选择性提供其他材料，包括但不限于质量管理制度、质量检测机构、质量检测设备（提供设备清单和图片），以及第三方质量检测报告等与质量控制相关的证明材料及报价方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(3)法定代表人授权书（含被授权人身份证复印件）（原件，如法定代表人未到现场需提供，附件15）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(4)主要股东或出资人信息（附件16）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(5)保密承诺书（附件17）</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（附件18）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(7)最近连续6个月缴纳社会保障金的银行转账汇款单或相应证明材料（依法不需要缴纳社会保障资金的报价方，应提供相应文件证明其不需要缴纳社会保障资金）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(8)最近连续6个月纳税的银行转账汇款单或相应证明材料（依法免税的报价方，应提供相应文件证明其依法免税）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(9)良好的商业信誉和健全的财务会计制度证明材料：会计师事务所出具的近3年（不足3年以成立日期起算）审计报告主要内容或公司近3年财务报表，至少应包括资产负债表、利润表及现金流量表。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(10)相关声明书（包含但不限于以下内容）：①非外资企业或外资控股企业的书面声明；②参加本次采购活动前3年内在经营活动中没有重大违法记录的书面声明。（附件19）</w:t>
      </w:r>
    </w:p>
    <w:p>
      <w:pPr>
        <w:adjustRightInd w:val="0"/>
        <w:snapToGrid w:val="0"/>
        <w:spacing w:line="440" w:lineRule="exact"/>
        <w:ind w:firstLine="455" w:firstLineChars="197"/>
        <w:rPr>
          <w:rFonts w:cs="Times New Roman" w:asciiTheme="minorEastAsia" w:hAnsiTheme="minorEastAsia"/>
          <w:kern w:val="0"/>
          <w:sz w:val="24"/>
          <w:szCs w:val="24"/>
        </w:rPr>
      </w:pPr>
      <w:r>
        <w:rPr>
          <w:rFonts w:hint="eastAsia" w:cs="Times New Roman" w:asciiTheme="minorEastAsia" w:hAnsiTheme="minorEastAsia"/>
          <w:kern w:val="0"/>
          <w:sz w:val="24"/>
          <w:szCs w:val="24"/>
        </w:rPr>
        <w:t>(11)报价方认为需要加以说明的其他内容</w:t>
      </w:r>
    </w:p>
    <w:p>
      <w:pPr>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w:t>
      </w:r>
      <w:r>
        <w:rPr>
          <w:rFonts w:hint="eastAsia"/>
        </w:rPr>
        <w:t xml:space="preserve"> </w:t>
      </w:r>
      <w:r>
        <w:rPr>
          <w:rFonts w:hint="eastAsia" w:cs="Times New Roman" w:asciiTheme="minorEastAsia" w:hAnsiTheme="minorEastAsia"/>
          <w:kern w:val="0"/>
          <w:sz w:val="24"/>
          <w:szCs w:val="24"/>
        </w:rPr>
        <w:t>报价方可以选择性提供其他资格证明文件，包括但不限于质量管理体系认证证书、环境管理体系认证证书、职业健康管理体系认证证书、3C认证、高新技术企业</w:t>
      </w:r>
      <w:r>
        <w:rPr>
          <w:rFonts w:hint="eastAsia" w:asciiTheme="majorEastAsia" w:hAnsiTheme="majorEastAsia" w:eastAsiaTheme="majorEastAsia"/>
          <w:sz w:val="24"/>
          <w:szCs w:val="24"/>
        </w:rPr>
        <w:t>、电子与智能化工程专业资质、</w:t>
      </w:r>
      <w:r>
        <w:rPr>
          <w:rFonts w:hint="eastAsia" w:cs="Times New Roman" w:asciiTheme="minorEastAsia" w:hAnsiTheme="minorEastAsia"/>
          <w:kern w:val="0"/>
          <w:sz w:val="24"/>
          <w:szCs w:val="24"/>
        </w:rPr>
        <w:t>等相关行业资质证明材料，仅作为商务、技术评审依据，不作为资格性和符合性审查要素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报价方必须按上述统一格式及顺序向采购机构提供《报价书》和《资格证明文件》，否则可能被视为无效报价。</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（四）报价文件的格式规定和签署</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报价文件应当工整、规范、统一、清晰，</w:t>
      </w:r>
      <w:r>
        <w:rPr>
          <w:rFonts w:hint="eastAsia" w:ascii="宋体" w:hAnsi="宋体" w:eastAsia="宋体" w:cs="Times New Roman"/>
          <w:b/>
          <w:kern w:val="0"/>
          <w:sz w:val="24"/>
          <w:szCs w:val="24"/>
        </w:rPr>
        <w:t>采用A4幅面纸胶装成册、标注页码</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2.</w:t>
      </w:r>
      <w:r>
        <w:rPr>
          <w:rFonts w:hint="eastAsia" w:ascii="宋体" w:hAnsi="宋体" w:eastAsia="宋体" w:cs="Times New Roman"/>
          <w:kern w:val="0"/>
          <w:sz w:val="24"/>
          <w:szCs w:val="24"/>
        </w:rPr>
        <w:t>报价方应当按照谈判文件规定的统一格式填写报价文件，报价文件开始部分应当有目录，以及方便评审委员会评审使用的项目索引。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3.报价方名称应当填写全称，同时加盖公章</w:t>
      </w:r>
      <w:r>
        <w:rPr>
          <w:rFonts w:hint="eastAsia" w:ascii="宋体" w:hAnsi="宋体" w:eastAsia="宋体" w:cs="Times New Roman"/>
          <w:snapToGrid w:val="0"/>
          <w:kern w:val="0"/>
          <w:sz w:val="24"/>
          <w:szCs w:val="24"/>
        </w:rPr>
        <w:t>，</w:t>
      </w:r>
      <w:r>
        <w:rPr>
          <w:rFonts w:hint="eastAsia" w:ascii="宋体" w:hAnsi="宋体" w:eastAsia="宋体" w:cs="Times New Roman"/>
          <w:kern w:val="0"/>
          <w:sz w:val="24"/>
          <w:szCs w:val="24"/>
          <w:lang w:val="zh-CN"/>
        </w:rPr>
        <w:t>公章与</w:t>
      </w:r>
      <w:r>
        <w:rPr>
          <w:rFonts w:hint="eastAsia" w:ascii="宋体" w:hAnsi="宋体" w:eastAsia="宋体" w:cs="Times New Roman"/>
          <w:snapToGrid w:val="0"/>
          <w:kern w:val="0"/>
          <w:sz w:val="24"/>
          <w:szCs w:val="24"/>
        </w:rPr>
        <w:t>全称</w:t>
      </w:r>
      <w:r>
        <w:rPr>
          <w:rFonts w:hint="eastAsia" w:ascii="宋体" w:hAnsi="宋体" w:eastAsia="宋体" w:cs="Times New Roman"/>
          <w:kern w:val="0"/>
          <w:sz w:val="24"/>
          <w:szCs w:val="24"/>
          <w:lang w:val="zh-CN"/>
        </w:rPr>
        <w:t>相符</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4.报价书、资格证明文件须单独封装。报价书一式</w:t>
      </w:r>
      <w:r>
        <w:rPr>
          <w:rFonts w:hint="eastAsia" w:ascii="宋体" w:hAnsi="宋体" w:eastAsia="宋体" w:cs="Times New Roman"/>
          <w:kern w:val="0"/>
          <w:sz w:val="24"/>
          <w:szCs w:val="24"/>
          <w:u w:val="single"/>
        </w:rPr>
        <w:t xml:space="preserve"> 3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2 </w:t>
      </w:r>
      <w:r>
        <w:rPr>
          <w:rFonts w:hint="eastAsia" w:ascii="宋体" w:hAnsi="宋体" w:eastAsia="宋体" w:cs="Times New Roman"/>
          <w:kern w:val="0"/>
          <w:sz w:val="24"/>
          <w:szCs w:val="24"/>
        </w:rPr>
        <w:t>份；资格证明文件一式</w:t>
      </w:r>
      <w:r>
        <w:rPr>
          <w:rFonts w:hint="eastAsia" w:ascii="宋体" w:hAnsi="宋体" w:eastAsia="宋体" w:cs="Times New Roman"/>
          <w:kern w:val="0"/>
          <w:sz w:val="24"/>
          <w:szCs w:val="24"/>
          <w:u w:val="single"/>
        </w:rPr>
        <w:t xml:space="preserve"> 3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2 </w:t>
      </w:r>
      <w:r>
        <w:rPr>
          <w:rFonts w:hint="eastAsia" w:ascii="宋体" w:hAnsi="宋体" w:eastAsia="宋体" w:cs="Times New Roman"/>
          <w:kern w:val="0"/>
          <w:sz w:val="24"/>
          <w:szCs w:val="24"/>
        </w:rPr>
        <w:t>份。在每一份文件上要注明“报价书”、“资格证明文件”、“正本”或“副本”字样。</w:t>
      </w:r>
      <w:r>
        <w:rPr>
          <w:rFonts w:hint="eastAsia" w:cs="Times New Roman" w:asciiTheme="minorEastAsia" w:hAnsiTheme="minorEastAsia"/>
          <w:kern w:val="0"/>
          <w:sz w:val="24"/>
          <w:szCs w:val="24"/>
        </w:rPr>
        <w:t>如果正本与副本不符，以正本为准。</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5.报价文件必须打印或用黑色、蓝黑色墨水填写。</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6.报价文件必须由法定代表人或授权代表签署。</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7.报价文件不得随意涂改和增删。如有修改错漏之处，必须由法定代表人或授权代表签字、盖章。法定代表人签字或签章均视为有效。</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8.报价文件</w:t>
      </w:r>
      <w:r>
        <w:rPr>
          <w:rFonts w:hint="eastAsia" w:ascii="宋体" w:hAnsi="宋体" w:eastAsia="宋体" w:cs="Times New Roman"/>
          <w:kern w:val="0"/>
          <w:sz w:val="24"/>
          <w:szCs w:val="24"/>
          <w:lang w:val="zh-CN"/>
        </w:rPr>
        <w:t>因字迹潦草或表述不清以及复印件不清所引起的后果由报价方自行负责</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（五）</w:t>
      </w:r>
      <w:r>
        <w:rPr>
          <w:rFonts w:hint="eastAsia" w:ascii="宋体" w:hAnsi="宋体" w:eastAsia="宋体" w:cs="Times New Roman"/>
          <w:snapToGrid w:val="0"/>
          <w:kern w:val="0"/>
          <w:sz w:val="24"/>
          <w:szCs w:val="24"/>
        </w:rPr>
        <w:t>报价文件有效期</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报价文件自提交截止之日起</w:t>
      </w:r>
      <w:r>
        <w:rPr>
          <w:rFonts w:hint="eastAsia" w:ascii="宋体" w:hAnsi="宋体" w:eastAsia="宋体" w:cs="宋体"/>
          <w:snapToGrid w:val="0"/>
          <w:kern w:val="0"/>
          <w:sz w:val="24"/>
          <w:szCs w:val="24"/>
          <w:lang w:val="zh-CN"/>
        </w:rPr>
        <w:t>180</w:t>
      </w:r>
      <w:r>
        <w:rPr>
          <w:rFonts w:hint="eastAsia" w:ascii="宋体" w:hAnsi="宋体" w:eastAsia="宋体" w:cs="Times New Roman"/>
          <w:kern w:val="0"/>
          <w:sz w:val="24"/>
          <w:szCs w:val="24"/>
          <w:lang w:val="zh-CN"/>
        </w:rPr>
        <w:t>日内保持有效。</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2.报价文件有效期需要延长的，采购机构可与报价方进行协商，并以书面形式予以确认。同意延长有效期的报价方不能修改报价文件。</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3.在采购过程中</w:t>
      </w:r>
      <w:r>
        <w:rPr>
          <w:rFonts w:hint="eastAsia" w:ascii="宋体" w:hAnsi="宋体" w:eastAsia="宋体" w:cs="Times New Roman"/>
          <w:kern w:val="0"/>
          <w:sz w:val="24"/>
          <w:szCs w:val="24"/>
        </w:rPr>
        <w:t>，报价方发生合并、分立、破产等重大变化时，应当及时书面告知采购机构。</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（六）谈判</w:t>
      </w:r>
      <w:r>
        <w:rPr>
          <w:rFonts w:hint="eastAsia" w:ascii="宋体" w:hAnsi="宋体" w:eastAsia="宋体" w:cs="Times New Roman"/>
          <w:snapToGrid w:val="0"/>
          <w:kern w:val="0"/>
          <w:sz w:val="24"/>
          <w:szCs w:val="24"/>
        </w:rPr>
        <w:t>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所有报价均以人民币为货币单位</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所有单价和总价按照报价一览表和合同格式要求填报。</w:t>
      </w:r>
      <w:r>
        <w:rPr>
          <w:rFonts w:hint="eastAsia" w:ascii="宋体" w:hAnsi="宋体" w:eastAsia="宋体" w:cs="宋体"/>
          <w:snapToGrid w:val="0"/>
          <w:kern w:val="0"/>
          <w:sz w:val="24"/>
          <w:szCs w:val="24"/>
          <w:lang w:val="zh-CN"/>
        </w:rPr>
        <w:t>报价应包括货款、标准附件、备品备件、专用工具、包装、安装、调试、培训、保修等费用和税金。</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宋体"/>
          <w:snapToGrid w:val="0"/>
          <w:kern w:val="0"/>
          <w:sz w:val="24"/>
          <w:szCs w:val="24"/>
          <w:lang w:val="zh-CN"/>
        </w:rPr>
        <w:t>3.</w:t>
      </w:r>
      <w:r>
        <w:rPr>
          <w:rFonts w:hint="eastAsia" w:ascii="宋体" w:hAnsi="宋体" w:eastAsia="宋体" w:cs="Times New Roman"/>
          <w:kern w:val="0"/>
          <w:sz w:val="24"/>
          <w:szCs w:val="24"/>
          <w:lang w:val="zh-CN"/>
        </w:rPr>
        <w:t>报价文件的大写金额与小写金额不一致的，以大写金额为准，</w:t>
      </w:r>
      <w:r>
        <w:rPr>
          <w:rFonts w:hint="eastAsia" w:cs="Times New Roman" w:asciiTheme="minorEastAsia" w:hAnsiTheme="minor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hint="eastAsia" w:ascii="宋体" w:hAnsi="宋体" w:eastAsia="宋体" w:cs="Times New Roman"/>
          <w:kern w:val="0"/>
          <w:sz w:val="24"/>
          <w:szCs w:val="24"/>
          <w:lang w:val="zh-CN"/>
        </w:rPr>
        <w:t>。报价方不同意以上修正，其报价将被拒绝。</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4.报价方</w:t>
      </w:r>
      <w:r>
        <w:rPr>
          <w:rFonts w:hint="eastAsia" w:ascii="宋体" w:hAnsi="宋体" w:eastAsia="宋体" w:cs="Times New Roman"/>
          <w:kern w:val="0"/>
          <w:sz w:val="24"/>
          <w:szCs w:val="24"/>
        </w:rPr>
        <w:t>对同一种货物每次报价只允许有一种报价，采购机构不接受任何有选择的报价。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委员会对报价方每个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四、</w:t>
      </w:r>
      <w:r>
        <w:rPr>
          <w:rFonts w:ascii="宋体" w:hAnsi="宋体" w:eastAsia="宋体" w:cs="Times New Roman"/>
          <w:kern w:val="0"/>
          <w:sz w:val="24"/>
          <w:szCs w:val="24"/>
        </w:rPr>
        <w:t>报价文件</w:t>
      </w:r>
      <w:r>
        <w:rPr>
          <w:rFonts w:hint="eastAsia" w:ascii="宋体" w:hAnsi="宋体" w:eastAsia="宋体" w:cs="Times New Roman"/>
          <w:kern w:val="0"/>
          <w:sz w:val="24"/>
          <w:szCs w:val="24"/>
        </w:rPr>
        <w:t>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（一）报价文件密封及标记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bCs/>
          <w:kern w:val="0"/>
          <w:sz w:val="24"/>
          <w:szCs w:val="24"/>
        </w:rPr>
        <w:t>1.报价方应当将报价</w:t>
      </w:r>
      <w:r>
        <w:rPr>
          <w:rFonts w:hint="eastAsia" w:ascii="宋体" w:hAnsi="宋体" w:eastAsia="宋体" w:cs="Times New Roman"/>
          <w:kern w:val="0"/>
          <w:sz w:val="24"/>
          <w:szCs w:val="24"/>
          <w:lang w:val="zh-CN"/>
        </w:rPr>
        <w:t>文件的正本和副本统一装入密封袋内，封口处应当有报价方单位公章，封面</w:t>
      </w:r>
      <w:r>
        <w:rPr>
          <w:rFonts w:hint="eastAsia" w:ascii="宋体" w:hAnsi="宋体" w:eastAsia="宋体" w:cs="Times New Roman"/>
          <w:kern w:val="0"/>
          <w:sz w:val="24"/>
          <w:szCs w:val="24"/>
        </w:rPr>
        <w:t>上注明“报价文件、谈判项目名称、项目编号、包号、</w:t>
      </w:r>
      <w:r>
        <w:rPr>
          <w:rFonts w:hint="eastAsia" w:ascii="宋体" w:hAnsi="宋体" w:eastAsia="宋体" w:cs="Times New Roman"/>
          <w:kern w:val="0"/>
          <w:sz w:val="24"/>
          <w:szCs w:val="24"/>
          <w:lang w:val="zh-CN"/>
        </w:rPr>
        <w:t>报价方</w:t>
      </w:r>
      <w:r>
        <w:rPr>
          <w:rFonts w:hint="eastAsia" w:ascii="宋体" w:hAnsi="宋体" w:eastAsia="宋体" w:cs="Times New Roman"/>
          <w:kern w:val="0"/>
          <w:sz w:val="24"/>
          <w:szCs w:val="24"/>
        </w:rPr>
        <w:t>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2.报价方应当在谈判文件明确的提交报价文件截止时间前，由谈判全权代表将报价文件送达采购机构指定地点。逾期提交的报价文件，采购机构将拒收。</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3.电报、电话、电传、邮寄等形式的报价文件概不接受。</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4.报价文件未按要求密封、标记的，采购机构将拒绝接收。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lang w:val="zh-CN"/>
        </w:rPr>
        <w:t>（二）</w:t>
      </w:r>
      <w:r>
        <w:rPr>
          <w:rFonts w:hint="eastAsia" w:ascii="宋体" w:hAnsi="宋体" w:eastAsia="宋体" w:cs="Times New Roman"/>
          <w:snapToGrid w:val="0"/>
          <w:kern w:val="0"/>
          <w:sz w:val="24"/>
          <w:szCs w:val="24"/>
        </w:rPr>
        <w:t>报价文件的修改和撤回</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2.报价方修改补充报价文件的书面材料，须密封送达采购机构指定地点，并在封面上注明“报价修改文件、项目名称、项目编号、报价方名称”和“谈判时启封”字样。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4.谈判开始后，报价方不得撤回报价文件。</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五、谈判报价与评审</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（一）评审委员会</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采购机构根据规定组建评审委员会。其成员由经济、技术等方面的专家和采购机构代表组成，其中技术、经济类专家不少于三分之二。</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（二）谈判方式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本次谈判采取2轮谈判3次报价的方式。确需增加谈判报价轮次的，在谈判过程中经评审委员会（五分之四以上评委）认定可以增加，但应当在评审报告中注明理由。</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（三）评审要求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(1)严格遵守公平、公正、择优的原则；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(2)对所有响应谈判文件实质性要求的报价方一视同仁；</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(3)</w:t>
      </w:r>
      <w:r>
        <w:rPr>
          <w:rFonts w:hint="eastAsia" w:ascii="宋体" w:hAnsi="宋体" w:eastAsia="宋体" w:cs="宋体"/>
          <w:snapToGrid w:val="0"/>
          <w:kern w:val="0"/>
          <w:sz w:val="24"/>
          <w:szCs w:val="24"/>
          <w:lang w:val="zh-CN"/>
        </w:rPr>
        <w:t>综合比较货物性能、质量、价格、交货期、售后服务等因素，确定评审排序结果；</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(4)报价最低不作为成交的保证。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2.评审有关要求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(1)评审委员会应当公平、公正、客观，不带任何倾向性和启发性，评审委员会及有关工作人员不得私下与报价方接触。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(2)评审过程严格保密。凡是属于审查、澄清、评价和比较有关的资料以及成交建议等，所有知情人均不得向报价方或其他无关的人员透露。</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(3)任何单位和个人都不得干扰、影响谈判活动的正常进行。报价方在谈判过程中所进行的试图影响成交结果的一切不符合法律或谈判规定的活动，都可能导致其报价被拒绝。</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（四）评审方法</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综合评分法。技术和商务评审总得分由高到低顺序排列，最高的报价方作为预成交供应商；得分相同的，按照报价由低到高顺序排列；得分且报价相同的，按照技术评审得分由高到低顺序排列。</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成员技术、商务（不含价格因素）最终评分偏离</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全体成员评分均值±20%的，该成员的评分将被剔除，以其他评委的评分均值计算，作为该成员的评分计入总分值；</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所有成员评分均超出±20%时，直接以全体成员评分均值计算，不再剔除。</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报价方报价高于采购预算的，不得推荐为预成交供应商（经采购管理部门批准同意的除外）。</w:t>
      </w:r>
    </w:p>
    <w:p>
      <w:pPr>
        <w:spacing w:line="440" w:lineRule="exact"/>
        <w:rPr>
          <w:rFonts w:ascii="宋体" w:hAnsi="宋体" w:eastAsia="宋体" w:cs="Times New Roman"/>
          <w:kern w:val="0"/>
          <w:sz w:val="24"/>
          <w:szCs w:val="24"/>
        </w:rPr>
      </w:pPr>
      <w:r>
        <w:rPr>
          <w:rFonts w:ascii="宋体" w:hAnsi="宋体" w:eastAsia="宋体" w:cs="Times New Roman"/>
          <w:color w:val="3366FF"/>
          <w:kern w:val="0"/>
          <w:sz w:val="24"/>
          <w:szCs w:val="24"/>
        </w:rPr>
        <w:br w:type="page"/>
      </w:r>
      <w:r>
        <w:rPr>
          <w:rFonts w:hint="eastAsia" w:ascii="宋体" w:hAnsi="宋体" w:eastAsia="宋体" w:cs="Times New Roman"/>
          <w:kern w:val="0"/>
          <w:sz w:val="24"/>
          <w:szCs w:val="24"/>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spacing w:line="440" w:lineRule="exact"/>
        <w:rPr>
          <w:rFonts w:ascii="宋体" w:hAnsi="宋体" w:eastAsia="宋体" w:cs="Times New Roman"/>
          <w:kern w:val="0"/>
          <w:sz w:val="24"/>
          <w:szCs w:val="24"/>
        </w:rPr>
      </w:pPr>
      <w:r>
        <w:rPr>
          <w:rFonts w:ascii="宋体" w:hAnsi="宋体" w:eastAsia="宋体" w:cs="Times New Roman"/>
          <w:kern w:val="0"/>
          <w:sz w:val="24"/>
          <w:szCs w:val="24"/>
        </w:rPr>
        <w:t>项目名称：                   项目编号：                            包号：</w:t>
      </w:r>
    </w:p>
    <w:tbl>
      <w:tblPr>
        <w:tblStyle w:val="18"/>
        <w:tblW w:w="5248" w:type="pct"/>
        <w:jc w:val="center"/>
        <w:tblLayout w:type="fixed"/>
        <w:tblCellMar>
          <w:top w:w="0" w:type="dxa"/>
          <w:left w:w="108" w:type="dxa"/>
          <w:bottom w:w="0" w:type="dxa"/>
          <w:right w:w="108" w:type="dxa"/>
        </w:tblCellMar>
      </w:tblPr>
      <w:tblGrid>
        <w:gridCol w:w="9509"/>
      </w:tblGrid>
      <w:tr>
        <w:tblPrEx>
          <w:tblCellMar>
            <w:top w:w="0" w:type="dxa"/>
            <w:left w:w="108" w:type="dxa"/>
            <w:bottom w:w="0" w:type="dxa"/>
            <w:right w:w="108" w:type="dxa"/>
          </w:tblCellMar>
        </w:tblPrEx>
        <w:trPr>
          <w:trHeight w:val="454" w:hRule="exact"/>
          <w:jc w:val="center"/>
        </w:trPr>
        <w:tc>
          <w:tcPr>
            <w:tcW w:w="95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黑体" w:hAnsi="黑体" w:eastAsia="黑体" w:cs="宋体"/>
                <w:kern w:val="0"/>
                <w:szCs w:val="21"/>
              </w:rPr>
            </w:pPr>
            <w:r>
              <w:rPr>
                <w:rFonts w:hint="eastAsia" w:ascii="黑体" w:hAnsi="黑体" w:eastAsia="黑体" w:cs="宋体"/>
                <w:kern w:val="0"/>
                <w:szCs w:val="21"/>
              </w:rPr>
              <w:t>审查项目</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黑体" w:hAnsi="宋体" w:eastAsia="黑体" w:cs="宋体"/>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2.法定代表人资格证明书和授权书（含法定代表人身份证复印件）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3.主要股东或出资人信息（含被授权人身份证复印件）</w:t>
            </w:r>
          </w:p>
        </w:tc>
      </w:tr>
      <w:tr>
        <w:tblPrEx>
          <w:tblCellMar>
            <w:top w:w="0" w:type="dxa"/>
            <w:left w:w="108" w:type="dxa"/>
            <w:bottom w:w="0" w:type="dxa"/>
            <w:right w:w="108" w:type="dxa"/>
          </w:tblCellMar>
        </w:tblPrEx>
        <w:trPr>
          <w:trHeight w:val="655"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rPr>
                <w:rFonts w:ascii="宋体" w:hAnsi="宋体" w:eastAsia="宋体" w:cs="宋体"/>
                <w:kern w:val="0"/>
                <w:szCs w:val="21"/>
              </w:rPr>
            </w:pPr>
            <w:r>
              <w:rPr>
                <w:rFonts w:hint="eastAsia" w:ascii="宋体" w:hAnsi="宋体" w:eastAsia="宋体" w:cs="宋体"/>
                <w:kern w:val="0"/>
                <w:szCs w:val="21"/>
              </w:rPr>
              <w:t>4.最近连续6个月缴纳社会保障金的银行转账汇款单或相应证明材料（依法不需要缴纳社会保障资金的报价方，应提供相应文件证明其不需要缴纳社会保障资金）</w:t>
            </w:r>
          </w:p>
        </w:tc>
      </w:tr>
      <w:tr>
        <w:tblPrEx>
          <w:tblCellMar>
            <w:top w:w="0" w:type="dxa"/>
            <w:left w:w="108" w:type="dxa"/>
            <w:bottom w:w="0" w:type="dxa"/>
            <w:right w:w="108" w:type="dxa"/>
          </w:tblCellMar>
        </w:tblPrEx>
        <w:trPr>
          <w:trHeight w:val="70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rPr>
                <w:rFonts w:ascii="宋体" w:hAnsi="宋体" w:eastAsia="宋体" w:cs="宋体"/>
                <w:kern w:val="0"/>
                <w:szCs w:val="21"/>
              </w:rPr>
            </w:pPr>
            <w:r>
              <w:rPr>
                <w:rFonts w:hint="eastAsia" w:ascii="宋体" w:hAnsi="宋体" w:eastAsia="宋体" w:cs="宋体"/>
                <w:kern w:val="0"/>
                <w:szCs w:val="21"/>
              </w:rPr>
              <w:t>5.最近连续6个月纳税的银行转账汇款单或相应证明材料（依法免税的报价方，应提供相应文件证明其依法免税）</w:t>
            </w:r>
          </w:p>
        </w:tc>
      </w:tr>
      <w:tr>
        <w:tblPrEx>
          <w:tblCellMar>
            <w:top w:w="0" w:type="dxa"/>
            <w:left w:w="108" w:type="dxa"/>
            <w:bottom w:w="0" w:type="dxa"/>
            <w:right w:w="108" w:type="dxa"/>
          </w:tblCellMar>
        </w:tblPrEx>
        <w:trPr>
          <w:trHeight w:val="98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rPr>
              <w:t>6.健全的财务会计制度证明材料：会计师事务所出具的近3年（不足3年以成立日期起算）审计报告主要内容或公司近3年财务报表，至少应包括资产负债表、利润表及现金流量表</w:t>
            </w:r>
          </w:p>
        </w:tc>
      </w:tr>
      <w:tr>
        <w:tblPrEx>
          <w:tblCellMar>
            <w:top w:w="0" w:type="dxa"/>
            <w:left w:w="108" w:type="dxa"/>
            <w:bottom w:w="0" w:type="dxa"/>
            <w:right w:w="108" w:type="dxa"/>
          </w:tblCellMar>
        </w:tblPrEx>
        <w:trPr>
          <w:trHeight w:val="67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eastAsia="宋体" w:cs="宋体"/>
                <w:kern w:val="0"/>
                <w:szCs w:val="21"/>
              </w:rPr>
            </w:pPr>
            <w:r>
              <w:rPr>
                <w:rFonts w:hint="eastAsia" w:ascii="宋体" w:hAnsi="宋体" w:eastAsia="宋体" w:cs="宋体"/>
                <w:kern w:val="0"/>
                <w:szCs w:val="21"/>
              </w:rPr>
              <w:t>7.</w:t>
            </w:r>
            <w:r>
              <w:rPr>
                <w:rFonts w:hint="eastAsia"/>
              </w:rPr>
              <w:t xml:space="preserve"> 相关声明书：</w:t>
            </w:r>
            <w:r>
              <w:rPr>
                <w:rFonts w:hint="eastAsia" w:ascii="宋体" w:hAnsi="宋体" w:eastAsia="宋体" w:cs="宋体"/>
                <w:kern w:val="0"/>
                <w:szCs w:val="21"/>
              </w:rPr>
              <w:t>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68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8. 保密承诺书及廉洁诚信承诺书</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二、符合性审查内容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1.报价书、资格证明文件密封完好</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2.报价文件签署、盖章齐全完整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3.报价文件组成齐全完整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4.报价文件有效期满足谈判文件要求</w:t>
            </w:r>
          </w:p>
        </w:tc>
      </w:tr>
      <w:tr>
        <w:tblPrEx>
          <w:tblCellMar>
            <w:top w:w="0" w:type="dxa"/>
            <w:left w:w="108" w:type="dxa"/>
            <w:bottom w:w="0" w:type="dxa"/>
            <w:right w:w="108" w:type="dxa"/>
          </w:tblCellMar>
        </w:tblPrEx>
        <w:trPr>
          <w:trHeight w:val="504" w:hRule="exact"/>
          <w:jc w:val="center"/>
        </w:trPr>
        <w:tc>
          <w:tcPr>
            <w:tcW w:w="9509"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440" w:lineRule="exact"/>
              <w:rPr>
                <w:rFonts w:ascii="宋体" w:hAnsi="宋体" w:eastAsia="宋体" w:cs="宋体"/>
                <w:b/>
                <w:kern w:val="0"/>
                <w:szCs w:val="21"/>
              </w:rPr>
            </w:pPr>
            <w:r>
              <w:rPr>
                <w:rFonts w:hint="eastAsia" w:ascii="宋体" w:hAnsi="宋体" w:eastAsia="宋体" w:cs="宋体"/>
                <w:b/>
                <w:kern w:val="0"/>
                <w:szCs w:val="21"/>
              </w:rPr>
              <w:t>说明：以上资格性和符合性要求均需满足，若有一条不满足，则为无效报价。</w:t>
            </w:r>
          </w:p>
        </w:tc>
      </w:tr>
    </w:tbl>
    <w:p>
      <w:pPr>
        <w:adjustRightInd w:val="0"/>
        <w:snapToGrid w:val="0"/>
        <w:spacing w:line="440" w:lineRule="exact"/>
        <w:rPr>
          <w:rFonts w:ascii="黑体" w:hAnsi="黑体" w:eastAsia="黑体" w:cs="Times New Roman"/>
          <w:kern w:val="0"/>
          <w:sz w:val="32"/>
          <w:szCs w:val="32"/>
        </w:rPr>
      </w:pPr>
    </w:p>
    <w:p>
      <w:pPr>
        <w:adjustRightInd w:val="0"/>
        <w:snapToGrid w:val="0"/>
        <w:spacing w:line="440" w:lineRule="exact"/>
        <w:rPr>
          <w:rFonts w:ascii="黑体" w:hAnsi="黑体" w:eastAsia="黑体" w:cs="Times New Roman"/>
          <w:kern w:val="0"/>
          <w:sz w:val="32"/>
          <w:szCs w:val="32"/>
        </w:rPr>
      </w:pPr>
    </w:p>
    <w:p>
      <w:pPr>
        <w:adjustRightInd w:val="0"/>
        <w:snapToGrid w:val="0"/>
        <w:spacing w:line="440" w:lineRule="exact"/>
        <w:rPr>
          <w:rFonts w:ascii="黑体" w:hAnsi="黑体" w:eastAsia="黑体" w:cs="Times New Roman"/>
          <w:kern w:val="0"/>
          <w:sz w:val="32"/>
          <w:szCs w:val="32"/>
        </w:rPr>
      </w:pPr>
    </w:p>
    <w:p>
      <w:pPr>
        <w:adjustRightInd w:val="0"/>
        <w:snapToGrid w:val="0"/>
        <w:spacing w:line="440" w:lineRule="exact"/>
        <w:rPr>
          <w:rFonts w:ascii="黑体" w:hAnsi="黑体" w:eastAsia="黑体" w:cs="Times New Roman"/>
          <w:kern w:val="0"/>
          <w:sz w:val="32"/>
          <w:szCs w:val="32"/>
        </w:rPr>
      </w:pPr>
    </w:p>
    <w:p>
      <w:pPr>
        <w:adjustRightInd w:val="0"/>
        <w:snapToGrid w:val="0"/>
        <w:spacing w:line="440" w:lineRule="exact"/>
        <w:rPr>
          <w:rFonts w:ascii="黑体" w:hAnsi="黑体" w:eastAsia="黑体" w:cs="Times New Roman"/>
          <w:kern w:val="0"/>
          <w:sz w:val="32"/>
          <w:szCs w:val="32"/>
        </w:rPr>
      </w:pPr>
    </w:p>
    <w:p>
      <w:pPr>
        <w:adjustRightInd w:val="0"/>
        <w:snapToGrid w:val="0"/>
        <w:spacing w:line="440" w:lineRule="exact"/>
        <w:rPr>
          <w:rFonts w:ascii="黑体" w:hAnsi="黑体" w:eastAsia="黑体" w:cs="Times New Roman"/>
          <w:kern w:val="0"/>
          <w:sz w:val="32"/>
          <w:szCs w:val="32"/>
        </w:rPr>
      </w:pPr>
    </w:p>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表2</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评审标准表</w:t>
      </w:r>
    </w:p>
    <w:tbl>
      <w:tblPr>
        <w:tblStyle w:val="49"/>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852"/>
        <w:gridCol w:w="142"/>
        <w:gridCol w:w="6946"/>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tcBorders>
              <w:top w:val="single" w:color="000000" w:sz="4" w:space="0"/>
              <w:bottom w:val="single" w:color="000000" w:sz="4" w:space="0"/>
              <w:right w:val="single" w:color="000000" w:sz="4" w:space="0"/>
            </w:tcBorders>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序号</w:t>
            </w:r>
          </w:p>
        </w:tc>
        <w:tc>
          <w:tcPr>
            <w:tcW w:w="85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评审</w:t>
            </w:r>
            <w:r>
              <w:rPr>
                <w:rFonts w:hint="eastAsia" w:ascii="宋体" w:hAnsi="宋体" w:eastAsia="宋体" w:cs="Times New Roman"/>
                <w:kern w:val="0"/>
                <w:sz w:val="21"/>
                <w:szCs w:val="21"/>
              </w:rPr>
              <w:br w:type="textWrapping"/>
            </w:r>
            <w:r>
              <w:rPr>
                <w:rFonts w:hint="eastAsia" w:ascii="宋体" w:hAnsi="宋体" w:eastAsia="宋体" w:cs="Times New Roman"/>
                <w:kern w:val="0"/>
                <w:sz w:val="21"/>
                <w:szCs w:val="21"/>
              </w:rPr>
              <w:t>项目</w:t>
            </w:r>
          </w:p>
        </w:tc>
        <w:tc>
          <w:tcPr>
            <w:tcW w:w="7088"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评审内容及规则</w:t>
            </w:r>
          </w:p>
        </w:tc>
        <w:tc>
          <w:tcPr>
            <w:tcW w:w="708" w:type="dxa"/>
            <w:tcBorders>
              <w:top w:val="single" w:color="000000" w:sz="4" w:space="0"/>
              <w:left w:val="single" w:color="000000" w:sz="4" w:space="0"/>
              <w:bottom w:val="single" w:color="000000" w:sz="4" w:space="0"/>
            </w:tcBorders>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标准</w:t>
            </w:r>
            <w:r>
              <w:rPr>
                <w:rFonts w:hint="eastAsia" w:ascii="宋体" w:hAnsi="宋体" w:eastAsia="宋体" w:cs="Times New Roman"/>
                <w:kern w:val="0"/>
                <w:sz w:val="21"/>
                <w:szCs w:val="21"/>
              </w:rPr>
              <w:br w:type="textWrapping"/>
            </w:r>
            <w:r>
              <w:rPr>
                <w:rFonts w:hint="eastAsia" w:ascii="宋体" w:hAnsi="宋体" w:eastAsia="宋体" w:cs="Times New Roman"/>
                <w:kern w:val="0"/>
                <w:sz w:val="21"/>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8648" w:type="dxa"/>
            <w:gridSpan w:val="4"/>
            <w:tcBorders>
              <w:top w:val="single" w:color="000000" w:sz="4" w:space="0"/>
              <w:right w:val="single" w:color="000000" w:sz="4" w:space="0"/>
            </w:tcBorders>
            <w:vAlign w:val="center"/>
          </w:tcPr>
          <w:p>
            <w:pPr>
              <w:adjustRightInd w:val="0"/>
              <w:snapToGrid w:val="0"/>
              <w:spacing w:line="300" w:lineRule="auto"/>
              <w:jc w:val="center"/>
              <w:rPr>
                <w:rFonts w:ascii="宋体" w:hAnsi="宋体" w:eastAsia="宋体" w:cs="Times New Roman"/>
                <w:b/>
                <w:bCs/>
                <w:kern w:val="0"/>
                <w:sz w:val="21"/>
                <w:szCs w:val="21"/>
              </w:rPr>
            </w:pPr>
            <w:r>
              <w:rPr>
                <w:rFonts w:hint="eastAsia" w:ascii="宋体" w:hAnsi="宋体" w:eastAsia="宋体" w:cs="Times New Roman"/>
                <w:b/>
                <w:bCs/>
                <w:kern w:val="0"/>
                <w:sz w:val="21"/>
                <w:szCs w:val="21"/>
              </w:rPr>
              <w:t>商务评审</w:t>
            </w:r>
          </w:p>
        </w:tc>
        <w:tc>
          <w:tcPr>
            <w:tcW w:w="708" w:type="dxa"/>
            <w:tcBorders>
              <w:top w:val="single" w:color="000000" w:sz="4" w:space="0"/>
              <w:left w:val="single" w:color="000000" w:sz="4" w:space="0"/>
            </w:tcBorders>
            <w:vAlign w:val="center"/>
          </w:tcPr>
          <w:p>
            <w:pPr>
              <w:adjustRightInd w:val="0"/>
              <w:snapToGrid w:val="0"/>
              <w:spacing w:line="300" w:lineRule="auto"/>
              <w:rPr>
                <w:rFonts w:ascii="宋体" w:hAnsi="宋体" w:eastAsia="宋体" w:cs="Times New Roman"/>
                <w:b/>
                <w:bCs/>
                <w:kern w:val="0"/>
                <w:sz w:val="21"/>
                <w:szCs w:val="21"/>
              </w:rPr>
            </w:pPr>
          </w:p>
          <w:p>
            <w:pPr>
              <w:adjustRightInd w:val="0"/>
              <w:snapToGrid w:val="0"/>
              <w:spacing w:line="300" w:lineRule="auto"/>
              <w:rPr>
                <w:rFonts w:ascii="宋体" w:hAnsi="宋体" w:eastAsia="宋体" w:cs="Times New Roman"/>
                <w:b/>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7" w:hRule="atLeast"/>
        </w:trPr>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一</w:t>
            </w:r>
          </w:p>
        </w:tc>
        <w:tc>
          <w:tcPr>
            <w:tcW w:w="852"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价  格</w:t>
            </w:r>
          </w:p>
        </w:tc>
        <w:tc>
          <w:tcPr>
            <w:tcW w:w="7088" w:type="dxa"/>
            <w:gridSpan w:val="2"/>
            <w:vAlign w:val="center"/>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满足招标文件要求且报价最低的为评审基准价</w:t>
            </w:r>
            <w:r>
              <w:rPr>
                <w:rFonts w:hint="eastAsia" w:ascii="宋体" w:hAnsi="宋体" w:eastAsia="宋体" w:cs="Times New Roman"/>
                <w:kern w:val="0"/>
                <w:sz w:val="21"/>
                <w:szCs w:val="21"/>
              </w:rPr>
              <w:br w:type="textWrapping"/>
            </w:r>
            <w:r>
              <w:rPr>
                <w:rFonts w:hint="eastAsia" w:ascii="宋体" w:hAnsi="宋体" w:eastAsia="宋体" w:cs="Times New Roman"/>
                <w:kern w:val="0"/>
                <w:sz w:val="21"/>
                <w:szCs w:val="21"/>
              </w:rPr>
              <w:t>价格得分=（评审基准价/报价）×标准分值</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5" w:hRule="atLeast"/>
        </w:trPr>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二</w:t>
            </w:r>
          </w:p>
        </w:tc>
        <w:tc>
          <w:tcPr>
            <w:tcW w:w="852"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产品</w:t>
            </w:r>
          </w:p>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业绩</w:t>
            </w:r>
          </w:p>
        </w:tc>
        <w:tc>
          <w:tcPr>
            <w:tcW w:w="7088" w:type="dxa"/>
            <w:gridSpan w:val="2"/>
            <w:vAlign w:val="center"/>
          </w:tcPr>
          <w:p>
            <w:pPr>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比较近三年（截止开标时间）所投产品在</w:t>
            </w:r>
            <w:r>
              <w:rPr>
                <w:rFonts w:hint="eastAsia" w:ascii="宋体" w:hAnsi="宋体" w:eastAsia="宋体" w:cs="Times New Roman"/>
                <w:b/>
                <w:bCs/>
                <w:kern w:val="0"/>
                <w:sz w:val="21"/>
                <w:szCs w:val="21"/>
              </w:rPr>
              <w:t>三甲医院或高等科研院所</w:t>
            </w:r>
            <w:r>
              <w:rPr>
                <w:rFonts w:hint="eastAsia" w:ascii="宋体" w:hAnsi="宋体" w:eastAsia="宋体" w:cs="Times New Roman"/>
                <w:kern w:val="0"/>
                <w:sz w:val="21"/>
                <w:szCs w:val="21"/>
              </w:rPr>
              <w:t>的销售业绩。以提供的销售合同复印件为准，未盖章或盖章不清晰、总金额或数量不清晰的合同无效。</w:t>
            </w:r>
            <w:r>
              <w:rPr>
                <w:rFonts w:hint="eastAsia" w:ascii="宋体" w:hAnsi="宋体" w:eastAsia="宋体" w:cs="Times New Roman"/>
                <w:kern w:val="0"/>
                <w:sz w:val="21"/>
                <w:szCs w:val="21"/>
              </w:rPr>
              <w:br w:type="textWrapping"/>
            </w:r>
            <w:r>
              <w:rPr>
                <w:rFonts w:hint="eastAsia" w:ascii="宋体" w:hAnsi="宋体" w:eastAsia="宋体" w:cs="Times New Roman"/>
                <w:kern w:val="0"/>
                <w:sz w:val="21"/>
                <w:szCs w:val="21"/>
              </w:rPr>
              <w:t>业绩得分=（所投产品业绩/基准业绩）×标准分值</w:t>
            </w:r>
            <w:r>
              <w:rPr>
                <w:rFonts w:hint="eastAsia" w:ascii="宋体" w:hAnsi="宋体" w:eastAsia="宋体" w:cs="Times New Roman"/>
                <w:kern w:val="0"/>
                <w:sz w:val="21"/>
                <w:szCs w:val="21"/>
              </w:rPr>
              <w:br w:type="textWrapping"/>
            </w:r>
            <w:r>
              <w:rPr>
                <w:rFonts w:hint="eastAsia" w:ascii="宋体" w:hAnsi="宋体" w:eastAsia="宋体" w:cs="Times New Roman"/>
                <w:kern w:val="0"/>
                <w:sz w:val="21"/>
                <w:szCs w:val="21"/>
              </w:rPr>
              <w:t>基准业绩=近三年（截止开标时间）所投产品有效合同累计销售最高数量（以有效合同份数计算）</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708" w:type="dxa"/>
            <w:vMerge w:val="restart"/>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三</w:t>
            </w:r>
          </w:p>
        </w:tc>
        <w:tc>
          <w:tcPr>
            <w:tcW w:w="852" w:type="dxa"/>
            <w:vMerge w:val="restart"/>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企业</w:t>
            </w:r>
          </w:p>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规模</w:t>
            </w:r>
          </w:p>
        </w:tc>
        <w:tc>
          <w:tcPr>
            <w:tcW w:w="7088" w:type="dxa"/>
            <w:gridSpan w:val="2"/>
            <w:noWrap/>
            <w:vAlign w:val="center"/>
          </w:tcPr>
          <w:p>
            <w:pPr>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1.根据报价方近三年平均资产总额进行评分，第一名得1分，依次递减0.2分。（以第三方会计师事务所出具的近3年的财务审计报告中显示的数据为准）</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852"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7088" w:type="dxa"/>
            <w:gridSpan w:val="2"/>
            <w:noWrap/>
            <w:vAlign w:val="center"/>
          </w:tcPr>
          <w:p>
            <w:pPr>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2.根据报价方近三年缴纳社保</w:t>
            </w:r>
            <w:r>
              <w:rPr>
                <w:rFonts w:hint="eastAsia" w:ascii="宋体" w:hAnsi="宋体" w:eastAsia="宋体" w:cs="Times New Roman"/>
                <w:b/>
                <w:kern w:val="0"/>
                <w:sz w:val="21"/>
                <w:szCs w:val="21"/>
                <w:u w:val="single"/>
              </w:rPr>
              <w:t>总金额</w:t>
            </w:r>
            <w:r>
              <w:rPr>
                <w:rFonts w:hint="eastAsia" w:ascii="宋体" w:hAnsi="宋体" w:eastAsia="宋体" w:cs="Times New Roman"/>
                <w:kern w:val="0"/>
                <w:sz w:val="21"/>
                <w:szCs w:val="21"/>
              </w:rPr>
              <w:t>由大至小排名，第一名得1分，依次递减0.2分。</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restart"/>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四</w:t>
            </w:r>
          </w:p>
        </w:tc>
        <w:tc>
          <w:tcPr>
            <w:tcW w:w="852" w:type="dxa"/>
            <w:vMerge w:val="restart"/>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信  誉</w:t>
            </w:r>
          </w:p>
        </w:tc>
        <w:tc>
          <w:tcPr>
            <w:tcW w:w="7088" w:type="dxa"/>
            <w:gridSpan w:val="2"/>
            <w:noWrap/>
            <w:vAlign w:val="center"/>
          </w:tcPr>
          <w:p>
            <w:pPr>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1.报价方近两年连续获得税务部门颁发的企业纳税信用</w:t>
            </w:r>
            <w:r>
              <w:rPr>
                <w:rFonts w:hint="eastAsia" w:ascii="宋体" w:hAnsi="宋体" w:eastAsia="宋体" w:cs="Times New Roman"/>
                <w:b/>
                <w:kern w:val="0"/>
                <w:sz w:val="21"/>
                <w:szCs w:val="21"/>
                <w:u w:val="single"/>
              </w:rPr>
              <w:t>A级</w:t>
            </w:r>
            <w:r>
              <w:rPr>
                <w:rFonts w:hint="eastAsia" w:ascii="宋体" w:hAnsi="宋体" w:eastAsia="宋体" w:cs="Times New Roman"/>
                <w:kern w:val="0"/>
                <w:sz w:val="21"/>
                <w:szCs w:val="21"/>
              </w:rPr>
              <w:t>评价证书的得0.5分，其他得0分。</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852"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7088" w:type="dxa"/>
            <w:gridSpan w:val="2"/>
            <w:noWrap/>
            <w:vAlign w:val="center"/>
          </w:tcPr>
          <w:p>
            <w:pPr>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2.报价方近一年获得银行颁发的资信（信用）</w:t>
            </w:r>
            <w:r>
              <w:rPr>
                <w:rFonts w:hint="eastAsia" w:ascii="宋体" w:hAnsi="宋体" w:eastAsia="宋体" w:cs="Times New Roman"/>
                <w:b/>
                <w:kern w:val="0"/>
                <w:sz w:val="21"/>
                <w:szCs w:val="21"/>
                <w:u w:val="single"/>
              </w:rPr>
              <w:t>等级</w:t>
            </w:r>
            <w:r>
              <w:rPr>
                <w:rFonts w:hint="eastAsia" w:ascii="宋体" w:hAnsi="宋体" w:eastAsia="宋体" w:cs="Times New Roman"/>
                <w:kern w:val="0"/>
                <w:sz w:val="21"/>
                <w:szCs w:val="21"/>
              </w:rPr>
              <w:t>证明，级别最高的得0.5分，其他得0分。</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6" w:hRule="atLeast"/>
        </w:trPr>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五</w:t>
            </w:r>
          </w:p>
        </w:tc>
        <w:tc>
          <w:tcPr>
            <w:tcW w:w="852"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财务</w:t>
            </w:r>
          </w:p>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状况</w:t>
            </w:r>
          </w:p>
        </w:tc>
        <w:tc>
          <w:tcPr>
            <w:tcW w:w="7088" w:type="dxa"/>
            <w:gridSpan w:val="2"/>
            <w:vAlign w:val="center"/>
          </w:tcPr>
          <w:p>
            <w:pPr>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3" w:hRule="atLeast"/>
        </w:trPr>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六</w:t>
            </w:r>
          </w:p>
        </w:tc>
        <w:tc>
          <w:tcPr>
            <w:tcW w:w="852"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报价方</w:t>
            </w:r>
            <w:r>
              <w:rPr>
                <w:rFonts w:hint="eastAsia" w:ascii="宋体" w:hAnsi="宋体" w:eastAsia="宋体" w:cs="Times New Roman"/>
                <w:kern w:val="0"/>
                <w:sz w:val="21"/>
                <w:szCs w:val="21"/>
              </w:rPr>
              <w:br w:type="textWrapping"/>
            </w:r>
            <w:r>
              <w:rPr>
                <w:rFonts w:hint="eastAsia" w:ascii="宋体" w:hAnsi="宋体" w:eastAsia="宋体" w:cs="Times New Roman"/>
                <w:kern w:val="0"/>
                <w:sz w:val="21"/>
                <w:szCs w:val="21"/>
              </w:rPr>
              <w:t>性质</w:t>
            </w:r>
          </w:p>
        </w:tc>
        <w:tc>
          <w:tcPr>
            <w:tcW w:w="7088" w:type="dxa"/>
            <w:gridSpan w:val="2"/>
            <w:noWrap/>
            <w:vAlign w:val="center"/>
          </w:tcPr>
          <w:p>
            <w:pPr>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报价方是</w:t>
            </w:r>
            <w:r>
              <w:rPr>
                <w:rFonts w:hint="eastAsia" w:ascii="宋体" w:hAnsi="宋体" w:eastAsia="宋体" w:cs="Times New Roman"/>
                <w:b/>
                <w:kern w:val="0"/>
                <w:sz w:val="21"/>
                <w:szCs w:val="21"/>
                <w:u w:val="single"/>
              </w:rPr>
              <w:t>生产企业或进口产品全国（大区）总代理</w:t>
            </w:r>
            <w:r>
              <w:rPr>
                <w:rFonts w:hint="eastAsia" w:ascii="宋体" w:hAnsi="宋体" w:eastAsia="宋体" w:cs="Times New Roman"/>
                <w:kern w:val="0"/>
                <w:sz w:val="21"/>
                <w:szCs w:val="21"/>
              </w:rPr>
              <w:t>的得标准分值，不是的得0分。</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3" w:hRule="atLeast"/>
        </w:trPr>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七</w:t>
            </w:r>
          </w:p>
        </w:tc>
        <w:tc>
          <w:tcPr>
            <w:tcW w:w="852"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特色商务</w:t>
            </w:r>
          </w:p>
        </w:tc>
        <w:tc>
          <w:tcPr>
            <w:tcW w:w="7088" w:type="dxa"/>
            <w:gridSpan w:val="2"/>
            <w:tcBorders>
              <w:top w:val="single" w:color="auto" w:sz="4" w:space="0"/>
            </w:tcBorders>
            <w:noWrap/>
            <w:vAlign w:val="center"/>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color w:val="000000" w:themeColor="text1"/>
                <w:kern w:val="0"/>
                <w:sz w:val="21"/>
                <w:szCs w:val="21"/>
              </w:rPr>
              <w:t>投标公司为</w:t>
            </w:r>
            <w:r>
              <w:rPr>
                <w:rFonts w:ascii="宋体" w:hAnsi="宋体" w:eastAsia="宋体" w:cs="Times New Roman"/>
                <w:color w:val="000000" w:themeColor="text1"/>
                <w:kern w:val="0"/>
                <w:sz w:val="21"/>
                <w:szCs w:val="21"/>
              </w:rPr>
              <w:t>上市公司或为所投产品行业标准制定</w:t>
            </w:r>
            <w:r>
              <w:rPr>
                <w:rFonts w:hint="eastAsia" w:ascii="宋体" w:hAnsi="宋体" w:eastAsia="宋体" w:cs="Times New Roman"/>
                <w:color w:val="000000" w:themeColor="text1"/>
                <w:kern w:val="0"/>
                <w:sz w:val="21"/>
                <w:szCs w:val="21"/>
              </w:rPr>
              <w:t>者</w:t>
            </w:r>
            <w:r>
              <w:rPr>
                <w:rFonts w:ascii="宋体" w:hAnsi="宋体" w:eastAsia="宋体" w:cs="Times New Roman"/>
                <w:color w:val="000000" w:themeColor="text1"/>
                <w:kern w:val="0"/>
                <w:sz w:val="21"/>
                <w:szCs w:val="21"/>
              </w:rPr>
              <w:t>得</w:t>
            </w:r>
            <w:r>
              <w:rPr>
                <w:rFonts w:hint="eastAsia" w:ascii="宋体" w:hAnsi="宋体" w:eastAsia="宋体" w:cs="Times New Roman"/>
                <w:color w:val="000000" w:themeColor="text1"/>
                <w:kern w:val="0"/>
                <w:sz w:val="21"/>
                <w:szCs w:val="21"/>
              </w:rPr>
              <w:t>3分</w:t>
            </w:r>
            <w:r>
              <w:rPr>
                <w:rFonts w:ascii="宋体" w:hAnsi="宋体" w:eastAsia="宋体" w:cs="Times New Roman"/>
                <w:color w:val="000000" w:themeColor="text1"/>
                <w:kern w:val="0"/>
                <w:sz w:val="21"/>
                <w:szCs w:val="21"/>
              </w:rPr>
              <w:t>，</w:t>
            </w:r>
            <w:r>
              <w:rPr>
                <w:rFonts w:hint="eastAsia" w:ascii="宋体" w:hAnsi="宋体" w:eastAsia="宋体" w:cs="Times New Roman"/>
                <w:color w:val="000000" w:themeColor="text1"/>
                <w:kern w:val="0"/>
                <w:sz w:val="21"/>
                <w:szCs w:val="21"/>
              </w:rPr>
              <w:t>所投</w:t>
            </w:r>
            <w:r>
              <w:rPr>
                <w:rFonts w:ascii="宋体" w:hAnsi="宋体" w:eastAsia="宋体" w:cs="Times New Roman"/>
                <w:color w:val="000000" w:themeColor="text1"/>
                <w:kern w:val="0"/>
                <w:sz w:val="21"/>
                <w:szCs w:val="21"/>
              </w:rPr>
              <w:t>产品</w:t>
            </w:r>
            <w:r>
              <w:rPr>
                <w:rFonts w:hint="eastAsia" w:ascii="宋体" w:hAnsi="宋体" w:eastAsia="宋体" w:cs="Times New Roman"/>
                <w:color w:val="000000" w:themeColor="text1"/>
                <w:kern w:val="0"/>
                <w:sz w:val="21"/>
                <w:szCs w:val="21"/>
              </w:rPr>
              <w:t>标准</w:t>
            </w:r>
            <w:r>
              <w:rPr>
                <w:rFonts w:ascii="宋体" w:hAnsi="宋体" w:eastAsia="宋体" w:cs="Times New Roman"/>
                <w:color w:val="000000" w:themeColor="text1"/>
                <w:kern w:val="0"/>
                <w:sz w:val="21"/>
                <w:szCs w:val="21"/>
              </w:rPr>
              <w:t>达到行业领先水平得</w:t>
            </w:r>
            <w:r>
              <w:rPr>
                <w:rFonts w:hint="eastAsia" w:ascii="宋体" w:hAnsi="宋体" w:eastAsia="宋体" w:cs="Times New Roman"/>
                <w:color w:val="000000" w:themeColor="text1"/>
                <w:kern w:val="0"/>
                <w:sz w:val="21"/>
                <w:szCs w:val="21"/>
              </w:rPr>
              <w:t>2分</w:t>
            </w:r>
            <w:r>
              <w:rPr>
                <w:rFonts w:ascii="宋体" w:hAnsi="宋体" w:eastAsia="宋体" w:cs="Times New Roman"/>
                <w:color w:val="000000" w:themeColor="text1"/>
                <w:kern w:val="0"/>
                <w:sz w:val="21"/>
                <w:szCs w:val="21"/>
              </w:rPr>
              <w:t>，达到区域领先的得</w:t>
            </w:r>
            <w:r>
              <w:rPr>
                <w:rFonts w:hint="eastAsia" w:ascii="宋体" w:hAnsi="宋体" w:eastAsia="宋体" w:cs="Times New Roman"/>
                <w:color w:val="000000" w:themeColor="text1"/>
                <w:kern w:val="0"/>
                <w:sz w:val="21"/>
                <w:szCs w:val="21"/>
              </w:rPr>
              <w:t>1分</w:t>
            </w:r>
            <w:r>
              <w:rPr>
                <w:rFonts w:ascii="宋体" w:hAnsi="宋体" w:eastAsia="宋体" w:cs="Times New Roman"/>
                <w:color w:val="000000" w:themeColor="text1"/>
                <w:kern w:val="0"/>
                <w:sz w:val="21"/>
                <w:szCs w:val="21"/>
              </w:rPr>
              <w:t>。</w:t>
            </w:r>
            <w:r>
              <w:rPr>
                <w:rFonts w:hint="eastAsia" w:ascii="宋体" w:hAnsi="宋体" w:eastAsia="宋体" w:cs="Times New Roman"/>
                <w:color w:val="000000" w:themeColor="text1"/>
                <w:kern w:val="0"/>
                <w:sz w:val="21"/>
                <w:szCs w:val="21"/>
              </w:rPr>
              <w:t>（提供证明材料）</w:t>
            </w:r>
          </w:p>
        </w:tc>
        <w:tc>
          <w:tcPr>
            <w:tcW w:w="708" w:type="dxa"/>
            <w:tcBorders>
              <w:top w:val="single" w:color="auto" w:sz="4" w:space="0"/>
            </w:tcBorders>
            <w:vAlign w:val="center"/>
          </w:tcPr>
          <w:p>
            <w:pPr>
              <w:adjustRightInd w:val="0"/>
              <w:snapToGrid w:val="0"/>
              <w:spacing w:line="300" w:lineRule="auto"/>
              <w:jc w:val="center"/>
              <w:rPr>
                <w:rFonts w:ascii="宋体" w:hAnsi="宋体" w:eastAsia="宋体" w:cs="Times New Roman"/>
                <w:kern w:val="0"/>
                <w:sz w:val="21"/>
                <w:szCs w:val="21"/>
              </w:rPr>
            </w:pPr>
            <w:r>
              <w:rPr>
                <w:rFonts w:ascii="宋体" w:hAnsi="宋体" w:eastAsia="宋体" w:cs="Times New Roman"/>
                <w:color w:val="000000" w:themeColor="text1"/>
                <w:kern w:val="0"/>
                <w:sz w:val="21"/>
                <w:szCs w:val="21"/>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adjustRightInd w:val="0"/>
              <w:snapToGrid w:val="0"/>
              <w:spacing w:line="300" w:lineRule="auto"/>
              <w:jc w:val="center"/>
              <w:rPr>
                <w:rFonts w:ascii="宋体" w:hAnsi="宋体" w:eastAsia="宋体" w:cs="Times New Roman"/>
                <w:b/>
                <w:bCs/>
                <w:kern w:val="0"/>
                <w:sz w:val="21"/>
                <w:szCs w:val="21"/>
              </w:rPr>
            </w:pPr>
            <w:r>
              <w:rPr>
                <w:rFonts w:hint="eastAsia" w:ascii="宋体" w:hAnsi="宋体" w:eastAsia="宋体" w:cs="Times New Roman"/>
                <w:b/>
                <w:bCs/>
                <w:kern w:val="0"/>
                <w:sz w:val="21"/>
                <w:szCs w:val="21"/>
              </w:rPr>
              <w:t>技术评审</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p>
          <w:p>
            <w:pPr>
              <w:adjustRightInd w:val="0"/>
              <w:snapToGrid w:val="0"/>
              <w:spacing w:line="300" w:lineRule="auto"/>
              <w:jc w:val="center"/>
              <w:rPr>
                <w:rFonts w:ascii="宋体" w:hAnsi="宋体"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708" w:type="dxa"/>
            <w:vMerge w:val="restart"/>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一</w:t>
            </w:r>
          </w:p>
        </w:tc>
        <w:tc>
          <w:tcPr>
            <w:tcW w:w="994" w:type="dxa"/>
            <w:gridSpan w:val="2"/>
            <w:vMerge w:val="restart"/>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技术</w:t>
            </w:r>
            <w:r>
              <w:rPr>
                <w:rFonts w:hint="eastAsia" w:ascii="宋体" w:hAnsi="宋体" w:eastAsia="宋体" w:cs="Times New Roman"/>
                <w:kern w:val="0"/>
                <w:sz w:val="21"/>
                <w:szCs w:val="21"/>
              </w:rPr>
              <w:br w:type="textWrapping"/>
            </w:r>
            <w:r>
              <w:rPr>
                <w:rFonts w:hint="eastAsia" w:ascii="宋体" w:hAnsi="宋体" w:eastAsia="宋体" w:cs="Times New Roman"/>
                <w:kern w:val="0"/>
                <w:sz w:val="21"/>
                <w:szCs w:val="21"/>
              </w:rPr>
              <w:t>力量</w:t>
            </w:r>
          </w:p>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（10分）</w:t>
            </w:r>
          </w:p>
        </w:tc>
        <w:tc>
          <w:tcPr>
            <w:tcW w:w="6946" w:type="dxa"/>
            <w:noWrap/>
            <w:vAlign w:val="center"/>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1.所投产品具有相应软件著作权或</w:t>
            </w:r>
            <w:r>
              <w:rPr>
                <w:rFonts w:ascii="宋体" w:hAnsi="宋体" w:eastAsia="宋体" w:cs="Times New Roman"/>
                <w:kern w:val="0"/>
                <w:sz w:val="21"/>
                <w:szCs w:val="21"/>
              </w:rPr>
              <w:t>发明专利</w:t>
            </w:r>
            <w:r>
              <w:rPr>
                <w:rFonts w:hint="eastAsia" w:ascii="宋体" w:hAnsi="宋体" w:eastAsia="宋体" w:cs="Times New Roman"/>
                <w:kern w:val="0"/>
                <w:sz w:val="21"/>
                <w:szCs w:val="21"/>
              </w:rPr>
              <w:t>的得标准分，没有得0分。</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994" w:type="dxa"/>
            <w:gridSpan w:val="2"/>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6946" w:type="dxa"/>
            <w:noWrap/>
            <w:vAlign w:val="center"/>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2.制造商具有IS09001质量管理体系认证证书的得标准分，否则得0分。</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994" w:type="dxa"/>
            <w:gridSpan w:val="2"/>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6946" w:type="dxa"/>
            <w:noWrap/>
            <w:vAlign w:val="center"/>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3.制造商具有IS027001信息安全管理体系认证证书的得标准分，否则得0分。</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994" w:type="dxa"/>
            <w:gridSpan w:val="2"/>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6946" w:type="dxa"/>
            <w:vAlign w:val="center"/>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4.开发商为高新技术企业的得标准分，否则得0分。</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994" w:type="dxa"/>
            <w:gridSpan w:val="2"/>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6946" w:type="dxa"/>
          </w:tcPr>
          <w:p>
            <w:pPr>
              <w:adjustRightInd w:val="0"/>
              <w:snapToGrid w:val="0"/>
              <w:spacing w:line="300" w:lineRule="auto"/>
              <w:rPr>
                <w:rFonts w:ascii="宋体" w:hAnsi="宋体" w:eastAsia="宋体" w:cs="Times New Roman"/>
                <w:kern w:val="0"/>
                <w:sz w:val="21"/>
                <w:szCs w:val="21"/>
              </w:rPr>
            </w:pPr>
            <w:r>
              <w:rPr>
                <w:rFonts w:ascii="宋体" w:hAnsi="宋体" w:eastAsia="宋体" w:cs="Times New Roman"/>
                <w:kern w:val="0"/>
                <w:sz w:val="21"/>
                <w:szCs w:val="21"/>
              </w:rPr>
              <w:t>5.投标人具有计算机信息系统集成1级资质的得2分，2级的得1分，3级得0.5分，3级以下不得分。（提供证明材料）。</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994" w:type="dxa"/>
            <w:gridSpan w:val="2"/>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6946" w:type="dxa"/>
          </w:tcPr>
          <w:p>
            <w:pPr>
              <w:adjustRightInd w:val="0"/>
              <w:snapToGrid w:val="0"/>
              <w:spacing w:line="300" w:lineRule="auto"/>
              <w:rPr>
                <w:rFonts w:ascii="宋体" w:hAnsi="宋体" w:eastAsia="宋体" w:cs="Times New Roman"/>
                <w:kern w:val="0"/>
                <w:sz w:val="21"/>
                <w:szCs w:val="21"/>
              </w:rPr>
            </w:pPr>
            <w:r>
              <w:rPr>
                <w:rFonts w:ascii="宋体" w:hAnsi="宋体" w:eastAsia="宋体" w:cs="Times New Roman"/>
                <w:kern w:val="0"/>
                <w:sz w:val="21"/>
                <w:szCs w:val="21"/>
              </w:rPr>
              <w:t>6.开发商</w:t>
            </w:r>
            <w:r>
              <w:rPr>
                <w:rFonts w:hint="eastAsia" w:ascii="宋体" w:hAnsi="宋体" w:eastAsia="宋体" w:cs="Times New Roman"/>
                <w:kern w:val="0"/>
                <w:sz w:val="21"/>
                <w:szCs w:val="21"/>
              </w:rPr>
              <w:t>或</w:t>
            </w:r>
            <w:r>
              <w:rPr>
                <w:rFonts w:ascii="宋体" w:hAnsi="宋体" w:eastAsia="宋体" w:cs="Times New Roman"/>
                <w:kern w:val="0"/>
                <w:sz w:val="21"/>
                <w:szCs w:val="21"/>
              </w:rPr>
              <w:t>投标人具有CMMI5认证证书的得2分，CMMI4认证证书的得1分，CMMI3</w:t>
            </w:r>
            <w:r>
              <w:rPr>
                <w:rFonts w:hint="eastAsia" w:ascii="宋体" w:hAnsi="宋体" w:eastAsia="宋体" w:cs="Times New Roman"/>
                <w:kern w:val="0"/>
                <w:sz w:val="21"/>
                <w:szCs w:val="21"/>
              </w:rPr>
              <w:t>认证</w:t>
            </w:r>
            <w:r>
              <w:rPr>
                <w:rFonts w:ascii="宋体" w:hAnsi="宋体" w:eastAsia="宋体" w:cs="Times New Roman"/>
                <w:kern w:val="0"/>
                <w:sz w:val="21"/>
                <w:szCs w:val="21"/>
              </w:rPr>
              <w:t>证书得0.5分, CMMI3以下得0分。</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994" w:type="dxa"/>
            <w:gridSpan w:val="2"/>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6946" w:type="dxa"/>
            <w:vAlign w:val="center"/>
          </w:tcPr>
          <w:p>
            <w:pPr>
              <w:adjustRightInd w:val="0"/>
              <w:snapToGrid w:val="0"/>
              <w:spacing w:line="300" w:lineRule="auto"/>
              <w:rPr>
                <w:rFonts w:ascii="宋体" w:hAnsi="宋体" w:eastAsia="宋体" w:cs="Times New Roman"/>
                <w:kern w:val="0"/>
                <w:sz w:val="21"/>
                <w:szCs w:val="21"/>
              </w:rPr>
            </w:pPr>
            <w:r>
              <w:rPr>
                <w:rFonts w:ascii="宋体" w:hAnsi="宋体" w:eastAsia="宋体" w:cs="Times New Roman"/>
                <w:kern w:val="0"/>
                <w:sz w:val="21"/>
                <w:szCs w:val="21"/>
              </w:rPr>
              <w:t>7</w:t>
            </w:r>
            <w:r>
              <w:rPr>
                <w:rFonts w:hint="eastAsia" w:ascii="宋体" w:hAnsi="宋体" w:eastAsia="宋体" w:cs="Times New Roman"/>
                <w:kern w:val="0"/>
                <w:sz w:val="21"/>
                <w:szCs w:val="21"/>
              </w:rPr>
              <w:t>.所投产品具有行业</w:t>
            </w:r>
            <w:r>
              <w:rPr>
                <w:rFonts w:ascii="宋体" w:hAnsi="宋体" w:eastAsia="宋体" w:cs="Times New Roman"/>
                <w:kern w:val="0"/>
                <w:sz w:val="21"/>
                <w:szCs w:val="21"/>
              </w:rPr>
              <w:t>技术标准、规范、</w:t>
            </w:r>
            <w:r>
              <w:rPr>
                <w:rFonts w:hint="eastAsia" w:ascii="宋体" w:hAnsi="宋体" w:eastAsia="宋体" w:cs="Times New Roman"/>
                <w:kern w:val="0"/>
                <w:sz w:val="21"/>
                <w:szCs w:val="21"/>
              </w:rPr>
              <w:t>认证</w:t>
            </w:r>
            <w:r>
              <w:rPr>
                <w:rFonts w:ascii="宋体" w:hAnsi="宋体" w:eastAsia="宋体" w:cs="Times New Roman"/>
                <w:kern w:val="0"/>
                <w:sz w:val="21"/>
                <w:szCs w:val="21"/>
              </w:rPr>
              <w:t>证书</w:t>
            </w:r>
            <w:r>
              <w:rPr>
                <w:rFonts w:hint="eastAsia" w:ascii="宋体" w:hAnsi="宋体" w:eastAsia="宋体" w:cs="Times New Roman"/>
                <w:kern w:val="0"/>
                <w:sz w:val="21"/>
                <w:szCs w:val="21"/>
              </w:rPr>
              <w:t>、</w:t>
            </w:r>
            <w:r>
              <w:rPr>
                <w:rFonts w:ascii="宋体" w:hAnsi="宋体" w:eastAsia="宋体" w:cs="Times New Roman"/>
                <w:kern w:val="0"/>
                <w:sz w:val="21"/>
                <w:szCs w:val="21"/>
              </w:rPr>
              <w:t>奖项等品质证明材料的，一项加</w:t>
            </w:r>
            <w:r>
              <w:rPr>
                <w:rFonts w:hint="eastAsia" w:ascii="宋体" w:hAnsi="宋体" w:eastAsia="宋体" w:cs="Times New Roman"/>
                <w:kern w:val="0"/>
                <w:sz w:val="21"/>
                <w:szCs w:val="21"/>
              </w:rPr>
              <w:t>0.5分</w:t>
            </w:r>
            <w:r>
              <w:rPr>
                <w:rFonts w:ascii="宋体" w:hAnsi="宋体" w:eastAsia="宋体" w:cs="Times New Roman"/>
                <w:kern w:val="0"/>
                <w:sz w:val="21"/>
                <w:szCs w:val="21"/>
              </w:rPr>
              <w:t>，最多加</w:t>
            </w:r>
            <w:r>
              <w:rPr>
                <w:rFonts w:hint="eastAsia" w:ascii="宋体" w:hAnsi="宋体" w:eastAsia="宋体" w:cs="Times New Roman"/>
                <w:kern w:val="0"/>
                <w:sz w:val="21"/>
                <w:szCs w:val="21"/>
              </w:rPr>
              <w:t>2分</w:t>
            </w:r>
            <w:r>
              <w:rPr>
                <w:rFonts w:ascii="宋体" w:hAnsi="宋体" w:eastAsia="宋体" w:cs="Times New Roman"/>
                <w:kern w:val="0"/>
                <w:sz w:val="21"/>
                <w:szCs w:val="21"/>
              </w:rPr>
              <w:t>。</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0"/>
                <w:szCs w:val="21"/>
              </w:rPr>
            </w:pPr>
          </w:p>
        </w:tc>
        <w:tc>
          <w:tcPr>
            <w:tcW w:w="994" w:type="dxa"/>
            <w:gridSpan w:val="2"/>
            <w:vMerge w:val="continue"/>
            <w:vAlign w:val="center"/>
          </w:tcPr>
          <w:p>
            <w:pPr>
              <w:adjustRightInd w:val="0"/>
              <w:snapToGrid w:val="0"/>
              <w:spacing w:line="300" w:lineRule="auto"/>
              <w:jc w:val="center"/>
              <w:rPr>
                <w:rFonts w:ascii="宋体" w:hAnsi="宋体" w:eastAsia="宋体" w:cs="Times New Roman"/>
                <w:kern w:val="0"/>
                <w:sz w:val="20"/>
                <w:szCs w:val="21"/>
              </w:rPr>
            </w:pPr>
          </w:p>
        </w:tc>
        <w:tc>
          <w:tcPr>
            <w:tcW w:w="6946" w:type="dxa"/>
            <w:vAlign w:val="center"/>
          </w:tcPr>
          <w:p>
            <w:pPr>
              <w:adjustRightInd w:val="0"/>
              <w:snapToGrid w:val="0"/>
              <w:spacing w:line="300" w:lineRule="auto"/>
              <w:rPr>
                <w:rFonts w:ascii="宋体" w:hAnsi="宋体" w:eastAsia="宋体" w:cs="Times New Roman"/>
                <w:color w:val="FF0000"/>
                <w:kern w:val="0"/>
                <w:sz w:val="20"/>
                <w:szCs w:val="21"/>
              </w:rPr>
            </w:pPr>
            <w:r>
              <w:rPr>
                <w:rFonts w:ascii="宋体" w:hAnsi="宋体" w:eastAsia="宋体" w:cs="Times New Roman"/>
                <w:kern w:val="0"/>
                <w:sz w:val="21"/>
                <w:szCs w:val="21"/>
              </w:rPr>
              <w:t>8</w:t>
            </w:r>
            <w:r>
              <w:rPr>
                <w:rFonts w:hint="eastAsia" w:ascii="宋体" w:hAnsi="宋体" w:eastAsia="宋体" w:cs="Times New Roman"/>
                <w:kern w:val="0"/>
                <w:sz w:val="21"/>
                <w:szCs w:val="21"/>
              </w:rPr>
              <w:t>.投标人</w:t>
            </w:r>
            <w:r>
              <w:rPr>
                <w:rFonts w:ascii="宋体" w:hAnsi="宋体" w:eastAsia="宋体" w:cs="Times New Roman"/>
                <w:kern w:val="0"/>
                <w:sz w:val="21"/>
                <w:szCs w:val="21"/>
              </w:rPr>
              <w:t>具有</w:t>
            </w:r>
            <w:r>
              <w:rPr>
                <w:rFonts w:hint="eastAsia" w:ascii="宋体" w:hAnsi="宋体" w:eastAsia="宋体" w:cs="Times New Roman"/>
                <w:kern w:val="0"/>
                <w:sz w:val="21"/>
                <w:szCs w:val="21"/>
              </w:rPr>
              <w:t>系统分析师、系统构架师、软件工程、数据库专业开发人员、程序员以及有经验的项目管理和组织能力项目经理，并提供相应的高级</w:t>
            </w:r>
            <w:r>
              <w:rPr>
                <w:rFonts w:ascii="宋体" w:hAnsi="宋体" w:eastAsia="宋体" w:cs="Times New Roman"/>
                <w:kern w:val="0"/>
                <w:sz w:val="21"/>
                <w:szCs w:val="21"/>
              </w:rPr>
              <w:t>职称</w:t>
            </w:r>
            <w:r>
              <w:rPr>
                <w:rFonts w:hint="eastAsia" w:ascii="宋体" w:hAnsi="宋体" w:eastAsia="宋体" w:cs="Times New Roman"/>
                <w:kern w:val="0"/>
                <w:sz w:val="21"/>
                <w:szCs w:val="21"/>
              </w:rPr>
              <w:t>资质。每提供一个证书得</w:t>
            </w:r>
            <w:r>
              <w:rPr>
                <w:rFonts w:ascii="宋体" w:hAnsi="宋体" w:eastAsia="宋体" w:cs="Times New Roman"/>
                <w:kern w:val="0"/>
                <w:sz w:val="21"/>
                <w:szCs w:val="21"/>
              </w:rPr>
              <w:t>0.5分，最多得2分（并提供社保作为支持）</w:t>
            </w:r>
          </w:p>
        </w:tc>
        <w:tc>
          <w:tcPr>
            <w:tcW w:w="708" w:type="dxa"/>
            <w:vAlign w:val="center"/>
          </w:tcPr>
          <w:p>
            <w:pPr>
              <w:adjustRightInd w:val="0"/>
              <w:snapToGrid w:val="0"/>
              <w:spacing w:line="300" w:lineRule="auto"/>
              <w:jc w:val="center"/>
              <w:rPr>
                <w:rFonts w:ascii="宋体" w:hAnsi="宋体" w:eastAsia="宋体" w:cs="Times New Roman"/>
                <w:kern w:val="0"/>
                <w:sz w:val="20"/>
                <w:szCs w:val="21"/>
              </w:rPr>
            </w:pPr>
            <w:r>
              <w:rPr>
                <w:rFonts w:hint="eastAsia" w:ascii="宋体" w:hAnsi="宋体" w:eastAsia="宋体" w:cs="Times New Roman"/>
                <w:kern w:val="0"/>
                <w:sz w:val="20"/>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0" w:hRule="atLeast"/>
        </w:trPr>
        <w:tc>
          <w:tcPr>
            <w:tcW w:w="708" w:type="dxa"/>
            <w:vMerge w:val="restart"/>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二</w:t>
            </w:r>
          </w:p>
        </w:tc>
        <w:tc>
          <w:tcPr>
            <w:tcW w:w="994" w:type="dxa"/>
            <w:gridSpan w:val="2"/>
            <w:vMerge w:val="restart"/>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产品技术性能指标参数满足偏离情况（30分）</w:t>
            </w:r>
          </w:p>
        </w:tc>
        <w:tc>
          <w:tcPr>
            <w:tcW w:w="6946" w:type="dxa"/>
            <w:tcBorders>
              <w:bottom w:val="single" w:color="auto" w:sz="4" w:space="0"/>
            </w:tcBorders>
            <w:vAlign w:val="center"/>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符合招标文件技术要求的有效起评分为</w:t>
            </w:r>
            <w:r>
              <w:rPr>
                <w:rFonts w:ascii="宋体" w:hAnsi="宋体" w:eastAsia="宋体" w:cs="Times New Roman"/>
                <w:kern w:val="0"/>
                <w:sz w:val="21"/>
                <w:szCs w:val="21"/>
              </w:rPr>
              <w:t>15</w:t>
            </w:r>
            <w:r>
              <w:rPr>
                <w:rFonts w:hint="eastAsia" w:ascii="宋体" w:hAnsi="宋体" w:eastAsia="宋体" w:cs="Times New Roman"/>
                <w:kern w:val="0"/>
                <w:sz w:val="21"/>
                <w:szCs w:val="21"/>
              </w:rPr>
              <w:t>分：</w:t>
            </w:r>
          </w:p>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1. 关键重要技术指标参数（★）、重要指标参数（▲）正偏离，每条加</w:t>
            </w:r>
            <w:r>
              <w:rPr>
                <w:rFonts w:ascii="宋体" w:hAnsi="宋体" w:eastAsia="宋体" w:cs="Times New Roman"/>
                <w:kern w:val="0"/>
                <w:sz w:val="21"/>
                <w:szCs w:val="21"/>
              </w:rPr>
              <w:t>1</w:t>
            </w:r>
            <w:r>
              <w:rPr>
                <w:rFonts w:hint="eastAsia" w:ascii="宋体" w:hAnsi="宋体" w:eastAsia="宋体" w:cs="Times New Roman"/>
                <w:kern w:val="0"/>
                <w:sz w:val="21"/>
                <w:szCs w:val="21"/>
              </w:rPr>
              <w:t>分，最多加</w:t>
            </w:r>
            <w:r>
              <w:rPr>
                <w:rFonts w:ascii="宋体" w:hAnsi="宋体" w:eastAsia="宋体" w:cs="Times New Roman"/>
                <w:kern w:val="0"/>
                <w:sz w:val="21"/>
                <w:szCs w:val="21"/>
              </w:rPr>
              <w:t>10</w:t>
            </w:r>
            <w:r>
              <w:rPr>
                <w:rFonts w:hint="eastAsia" w:ascii="宋体" w:hAnsi="宋体" w:eastAsia="宋体" w:cs="Times New Roman"/>
                <w:kern w:val="0"/>
                <w:sz w:val="21"/>
                <w:szCs w:val="21"/>
              </w:rPr>
              <w:t>分；</w:t>
            </w:r>
          </w:p>
          <w:p>
            <w:pPr>
              <w:adjustRightInd w:val="0"/>
              <w:snapToGrid w:val="0"/>
              <w:spacing w:line="300" w:lineRule="auto"/>
              <w:rPr>
                <w:rFonts w:ascii="宋体" w:hAnsi="宋体" w:eastAsia="宋体" w:cs="Times New Roman"/>
                <w:kern w:val="0"/>
                <w:sz w:val="21"/>
                <w:szCs w:val="21"/>
                <w:lang w:val="zh-CN"/>
              </w:rPr>
            </w:pPr>
            <w:r>
              <w:rPr>
                <w:rFonts w:hint="eastAsia" w:ascii="宋体" w:hAnsi="宋体" w:eastAsia="宋体" w:cs="Times New Roman"/>
                <w:kern w:val="0"/>
                <w:sz w:val="21"/>
                <w:szCs w:val="21"/>
              </w:rPr>
              <w:t>2.</w:t>
            </w:r>
            <w:r>
              <w:rPr>
                <w:rFonts w:hint="eastAsia" w:ascii="宋体" w:hAnsi="宋体" w:eastAsia="宋体" w:cs="Times New Roman"/>
                <w:kern w:val="0"/>
                <w:sz w:val="21"/>
                <w:szCs w:val="21"/>
                <w:lang w:val="zh-CN"/>
              </w:rPr>
              <w:t xml:space="preserve"> 一般技术指标参数正偏离每条加</w:t>
            </w:r>
            <w:r>
              <w:rPr>
                <w:rFonts w:ascii="宋体" w:hAnsi="宋体" w:eastAsia="宋体" w:cs="Times New Roman"/>
                <w:kern w:val="0"/>
                <w:sz w:val="21"/>
                <w:szCs w:val="21"/>
                <w:lang w:val="zh-CN"/>
              </w:rPr>
              <w:t>0.5</w:t>
            </w:r>
            <w:r>
              <w:rPr>
                <w:rFonts w:hint="eastAsia" w:ascii="宋体" w:hAnsi="宋体" w:eastAsia="宋体" w:cs="Times New Roman"/>
                <w:kern w:val="0"/>
                <w:sz w:val="21"/>
                <w:szCs w:val="21"/>
                <w:lang w:val="zh-CN"/>
              </w:rPr>
              <w:t>分，最多加</w:t>
            </w:r>
            <w:r>
              <w:rPr>
                <w:rFonts w:ascii="宋体" w:hAnsi="宋体" w:eastAsia="宋体" w:cs="Times New Roman"/>
                <w:kern w:val="0"/>
                <w:sz w:val="21"/>
                <w:szCs w:val="21"/>
                <w:lang w:val="zh-CN"/>
              </w:rPr>
              <w:t>5</w:t>
            </w:r>
            <w:r>
              <w:rPr>
                <w:rFonts w:hint="eastAsia" w:ascii="宋体" w:hAnsi="宋体" w:eastAsia="宋体" w:cs="Times New Roman"/>
                <w:kern w:val="0"/>
                <w:sz w:val="21"/>
                <w:szCs w:val="21"/>
                <w:lang w:val="zh-CN"/>
              </w:rPr>
              <w:t>分；</w:t>
            </w:r>
          </w:p>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lang w:val="zh-CN"/>
              </w:rPr>
              <w:t>3.</w:t>
            </w:r>
            <w:r>
              <w:rPr>
                <w:rFonts w:hint="eastAsia" w:ascii="宋体" w:hAnsi="宋体" w:eastAsia="宋体" w:cs="Times New Roman"/>
                <w:kern w:val="0"/>
                <w:sz w:val="21"/>
                <w:szCs w:val="21"/>
              </w:rPr>
              <w:t xml:space="preserve"> 重要指标参数（▲）负偏离，每条扣</w:t>
            </w:r>
            <w:r>
              <w:rPr>
                <w:rFonts w:ascii="宋体" w:hAnsi="宋体" w:eastAsia="宋体" w:cs="Times New Roman"/>
                <w:kern w:val="0"/>
                <w:sz w:val="21"/>
                <w:szCs w:val="21"/>
              </w:rPr>
              <w:t>3</w:t>
            </w:r>
            <w:r>
              <w:rPr>
                <w:rFonts w:hint="eastAsia" w:ascii="宋体" w:hAnsi="宋体" w:eastAsia="宋体" w:cs="Times New Roman"/>
                <w:kern w:val="0"/>
                <w:sz w:val="21"/>
                <w:szCs w:val="21"/>
              </w:rPr>
              <w:t>分，扣完为止；</w:t>
            </w:r>
          </w:p>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4.</w:t>
            </w:r>
            <w:r>
              <w:rPr>
                <w:rFonts w:hint="eastAsia" w:ascii="宋体" w:hAnsi="宋体" w:eastAsia="宋体" w:cs="Times New Roman"/>
                <w:kern w:val="0"/>
                <w:sz w:val="21"/>
                <w:szCs w:val="21"/>
                <w:lang w:val="zh-CN"/>
              </w:rPr>
              <w:t xml:space="preserve"> 一般技术指标参数</w:t>
            </w:r>
            <w:r>
              <w:rPr>
                <w:rFonts w:hint="eastAsia" w:ascii="宋体" w:hAnsi="宋体" w:eastAsia="宋体" w:cs="Times New Roman"/>
                <w:kern w:val="0"/>
                <w:sz w:val="21"/>
                <w:szCs w:val="21"/>
              </w:rPr>
              <w:t>负偏离，每条扣</w:t>
            </w:r>
            <w:r>
              <w:rPr>
                <w:rFonts w:ascii="宋体" w:hAnsi="宋体" w:eastAsia="宋体" w:cs="Times New Roman"/>
                <w:kern w:val="0"/>
                <w:sz w:val="21"/>
                <w:szCs w:val="21"/>
              </w:rPr>
              <w:t>1</w:t>
            </w:r>
            <w:r>
              <w:rPr>
                <w:rFonts w:hint="eastAsia" w:ascii="宋体" w:hAnsi="宋体" w:eastAsia="宋体" w:cs="Times New Roman"/>
                <w:kern w:val="0"/>
                <w:sz w:val="21"/>
                <w:szCs w:val="21"/>
              </w:rPr>
              <w:t>分，扣完为止</w:t>
            </w:r>
          </w:p>
        </w:tc>
        <w:tc>
          <w:tcPr>
            <w:tcW w:w="708" w:type="dxa"/>
            <w:vMerge w:val="restart"/>
            <w:vAlign w:val="center"/>
          </w:tcPr>
          <w:p>
            <w:pPr>
              <w:adjustRightInd w:val="0"/>
              <w:snapToGrid w:val="0"/>
              <w:spacing w:line="300" w:lineRule="auto"/>
              <w:jc w:val="center"/>
              <w:rPr>
                <w:rFonts w:ascii="宋体" w:hAnsi="宋体" w:eastAsia="宋体" w:cs="Times New Roman"/>
                <w:kern w:val="0"/>
                <w:sz w:val="21"/>
                <w:szCs w:val="21"/>
              </w:rPr>
            </w:pPr>
            <w:r>
              <w:rPr>
                <w:rFonts w:ascii="宋体" w:hAnsi="宋体" w:eastAsia="宋体" w:cs="Times New Roman"/>
                <w:kern w:val="0"/>
                <w:sz w:val="21"/>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1"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994" w:type="dxa"/>
            <w:gridSpan w:val="2"/>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6946" w:type="dxa"/>
            <w:tcBorders>
              <w:top w:val="single" w:color="auto" w:sz="4" w:space="0"/>
            </w:tcBorders>
            <w:shd w:val="clear" w:color="auto" w:fill="auto"/>
            <w:vAlign w:val="center"/>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产品配置不齐全或性能用途与招标要求不符，“产品技术性能指标参数满足偏离情况”总得分为0分。</w:t>
            </w:r>
          </w:p>
        </w:tc>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restart"/>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三</w:t>
            </w:r>
          </w:p>
        </w:tc>
        <w:tc>
          <w:tcPr>
            <w:tcW w:w="994" w:type="dxa"/>
            <w:gridSpan w:val="2"/>
            <w:vMerge w:val="restart"/>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售后</w:t>
            </w:r>
            <w:r>
              <w:rPr>
                <w:rFonts w:hint="eastAsia" w:ascii="宋体" w:hAnsi="宋体" w:eastAsia="宋体" w:cs="Times New Roman"/>
                <w:kern w:val="0"/>
                <w:sz w:val="21"/>
                <w:szCs w:val="21"/>
              </w:rPr>
              <w:br w:type="textWrapping"/>
            </w:r>
            <w:r>
              <w:rPr>
                <w:rFonts w:hint="eastAsia" w:ascii="宋体" w:hAnsi="宋体" w:eastAsia="宋体" w:cs="Times New Roman"/>
                <w:kern w:val="0"/>
                <w:sz w:val="21"/>
                <w:szCs w:val="21"/>
              </w:rPr>
              <w:t>服务</w:t>
            </w:r>
          </w:p>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（7分）</w:t>
            </w:r>
          </w:p>
        </w:tc>
        <w:tc>
          <w:tcPr>
            <w:tcW w:w="6946" w:type="dxa"/>
            <w:vAlign w:val="center"/>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免费保修期：在满足招标文件要求的基础上，每增加1年得1分，最多得标准分值，不符合招标文件要求按无效投标处理。（未履行保修承诺的，相关企业将列入黑名单。）</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994" w:type="dxa"/>
            <w:gridSpan w:val="2"/>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6946" w:type="dxa"/>
            <w:vAlign w:val="center"/>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实施周期：是否提供开发整体系统明确、合理的项目实施周期和进度表。最优得标准分，其余依次递减0.5分，最低得0分。</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9"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994" w:type="dxa"/>
            <w:gridSpan w:val="2"/>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6946" w:type="dxa"/>
            <w:vAlign w:val="center"/>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人员组织保障：根据投标人项目组织实施保障方案评审，最优得标准分，其余依次递减0.5分。</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994" w:type="dxa"/>
            <w:gridSpan w:val="2"/>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6946" w:type="dxa"/>
            <w:vAlign w:val="center"/>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994" w:type="dxa"/>
            <w:gridSpan w:val="2"/>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6946" w:type="dxa"/>
            <w:tcBorders>
              <w:bottom w:val="single" w:color="auto" w:sz="4" w:space="0"/>
            </w:tcBorders>
            <w:vAlign w:val="center"/>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根据企业服务方式（是否</w:t>
            </w:r>
            <w:r>
              <w:rPr>
                <w:rFonts w:ascii="宋体" w:hAnsi="宋体" w:eastAsia="宋体" w:cs="Times New Roman"/>
                <w:kern w:val="0"/>
                <w:sz w:val="21"/>
                <w:szCs w:val="21"/>
              </w:rPr>
              <w:t>驻场</w:t>
            </w:r>
            <w:r>
              <w:rPr>
                <w:rFonts w:hint="eastAsia" w:ascii="宋体" w:hAnsi="宋体" w:eastAsia="宋体" w:cs="Times New Roman"/>
                <w:kern w:val="0"/>
                <w:sz w:val="21"/>
                <w:szCs w:val="21"/>
              </w:rPr>
              <w:t>）、现场支持、服务费用、服务等级等因素评分，最优得标准分，其余依次递减0.4分，最低得0分。</w:t>
            </w:r>
          </w:p>
        </w:tc>
        <w:tc>
          <w:tcPr>
            <w:tcW w:w="708" w:type="dxa"/>
            <w:tcBorders>
              <w:bottom w:val="single" w:color="auto" w:sz="4" w:space="0"/>
            </w:tcBorders>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8"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994" w:type="dxa"/>
            <w:gridSpan w:val="2"/>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6946" w:type="dxa"/>
            <w:tcBorders>
              <w:bottom w:val="single" w:color="auto" w:sz="4" w:space="0"/>
            </w:tcBorders>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根据软件运营过程中安全服务和后期技术咨询承诺情况评分，最优得标准分，其余依次递减0.4分，最低得0分。</w:t>
            </w:r>
          </w:p>
        </w:tc>
        <w:tc>
          <w:tcPr>
            <w:tcW w:w="708" w:type="dxa"/>
            <w:tcBorders>
              <w:bottom w:val="single" w:color="auto" w:sz="4" w:space="0"/>
            </w:tcBorders>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7"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994" w:type="dxa"/>
            <w:gridSpan w:val="2"/>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6946" w:type="dxa"/>
            <w:tcBorders>
              <w:top w:val="single" w:color="auto" w:sz="4" w:space="0"/>
              <w:bottom w:val="single" w:color="auto" w:sz="4" w:space="0"/>
            </w:tcBorders>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1.近三年企业售后服务未满足用户要求、未按承诺履行义务、被投诉的，每次得-1分。</w:t>
            </w:r>
          </w:p>
        </w:tc>
        <w:tc>
          <w:tcPr>
            <w:tcW w:w="708" w:type="dxa"/>
            <w:tcBorders>
              <w:top w:val="single" w:color="auto" w:sz="4" w:space="0"/>
              <w:bottom w:val="single" w:color="auto" w:sz="4" w:space="0"/>
            </w:tcBorders>
            <w:vAlign w:val="center"/>
          </w:tcPr>
          <w:p>
            <w:pPr>
              <w:adjustRightInd w:val="0"/>
              <w:snapToGrid w:val="0"/>
              <w:spacing w:line="300" w:lineRule="auto"/>
              <w:jc w:val="center"/>
              <w:rPr>
                <w:rFonts w:ascii="宋体" w:hAnsi="宋体" w:eastAsia="宋体" w:cs="Times New Roman"/>
                <w:kern w:val="0"/>
                <w:sz w:val="21"/>
                <w:szCs w:val="21"/>
              </w:rPr>
            </w:pPr>
          </w:p>
        </w:tc>
      </w:tr>
    </w:tbl>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（五）谈判程序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2.由监督人员或采购机构检查报价文件的密封情况，确认无误后，由工作人员统一拆封。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(1)密封时未加盖、少加盖公章或者密封章，但是密封完好、完整标明了报价方名称且得到报价方（法定代表人或者授权代表）现场认可的；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(2)正副本数量齐全、密封完好，只是未按照谈判文件要求进行分装或者统装的；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(3)存在个别地方（总数不超过2个且占应签字地方的比例不超过20%）没有法定代表人签字，但有法定代表人的私人印章或者授权代表有效签字的；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(4)除谈判文件明确要求加盖供应商（法人）公章的以外，其他地方以相关专用章加盖的。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8.最终报价。报价方在第二轮谈判基础上填写《最终报价表》和新的澄清承诺（若没有可不填写），在规定时间内递交评审委员会，并以此报价和所有澄清承诺作为最终评审依据。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报价方提交最终报价时，应将报价和其他承诺分开填写、单独递交，否则将被视为无效报价。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最终报价是供应商报价文件的有效组成部分。供应商在提交最后报价之前，可以根据谈判情况退出谈判。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10.商务、技术评审。按照谈判文件中规定的评审方法和标准，对资格性审查和符合性审查合格的报价方进行技术评审和商务评审（不含价格因素）。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价格评审。待技术、商务评审结束后，工作人员再将最终报价交评审委员会评审。存在低价恶意竞争的，由评审委员会全体成员按前款（六）谈判报价有关要求认定；不存在低价恶意竞争的，由商务评委依据评审方法和评审标准对最终报价进行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复核评审情况。评审结束后，评审委员会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13.评审委员会依据经过复核的评审结果，对报价方进行排序并推荐预成交供应商。</w:t>
      </w:r>
    </w:p>
    <w:p>
      <w:pPr>
        <w:spacing w:line="440" w:lineRule="exact"/>
        <w:rPr>
          <w:rFonts w:ascii="宋体" w:hAnsi="宋体" w:eastAsia="宋体" w:cs="Times New Roman"/>
          <w:kern w:val="0"/>
          <w:sz w:val="24"/>
          <w:szCs w:val="24"/>
        </w:rPr>
      </w:pPr>
      <w:r>
        <w:rPr>
          <w:rFonts w:hint="eastAsia" w:cs="Times New Roman" w:asciiTheme="minorEastAsia" w:hAnsiTheme="minorEastAsia"/>
          <w:kern w:val="0"/>
          <w:sz w:val="24"/>
          <w:szCs w:val="24"/>
        </w:rPr>
        <w:t>本项目只确认一家成交供应商。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(1)谈判日期和地点；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(2)获取谈判文件供应商名单、报价供应商名单和评审委员会成员名单；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(3)评审方法；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(4)谈判记录和评审情况及说明，包括无效报价供应商名称及原因；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评审委员会应当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(6)评审委员会成交建议。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15.宣布评审结果。评审结果由评审委员会组长在谈判现场向参与采购活动的报价方当场公布，且不得更改。公布的内容至少应包含预成交供应商名称和排序，以及无效报价供应商名称和无效报价理由。报价方对评审结果有疑义的，评审委员会应当现场予以解答。</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（六）对下列情况，采购机构以及评审委员会按照《军队物资采购评审管理办法》及相关规定处理。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商满足单一来源条件的，应当在评审报告中注明；采购机构应当将该项目在网上公示1周（涉密项目除外），无其他供应商响应时，报采购管理部门申请变更采购方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部分供应商报价超采购预算的，应当继续进行评审。第一预成交供应商报价未超采购预算的，评审结果有效；第一预成交供应商超采购预算的，报采购管理部门处理。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同一需求部门（单位）同一经费来源的同类物资，部分产品单价或者金额超采购预算，但成交总金额未超采购预算的，不视为需求部门（单位）不能支付。</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3.报价方及其报价文件有下列情形之一的，在符合性审查时按照无效报价处理：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(1)未按照谈判文件规定要求密封、签署、盖章的（符合资格性和符合性审查要求的除外）；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(2)报价文件组成明显不符合谈判文件的规定要求，影响评审委员会评判的；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 报价有效期不符合谈判文件要求的；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 其他未满足对报价文件有效性、完整性和对谈判文件响应程度要求的情形。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4.报价方及其报价文件有下列情形之一的，在资格性审查时按照无效报价处理：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(1)不具备谈判文件中规定的资格性要求的；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(2)法人代表授权不符合要求的；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(3)属于禁止参加报价的供应商的；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(4)不符合法律、法规、规章规定的资格性要求的；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hint="eastAsia" w:cs="Times New Roman" w:asciiTheme="minorEastAsia" w:hAnsiTheme="minorEastAsia"/>
          <w:kern w:val="0"/>
          <w:sz w:val="24"/>
          <w:szCs w:val="24"/>
        </w:rPr>
        <w:t xml:space="preserve"> </w:t>
      </w:r>
      <w:r>
        <w:rPr>
          <w:rFonts w:hint="eastAsia" w:ascii="宋体" w:hAnsi="宋体" w:eastAsia="宋体" w:cs="Times New Roman"/>
          <w:kern w:val="0"/>
          <w:sz w:val="24"/>
          <w:szCs w:val="24"/>
        </w:rPr>
        <w:t>供应商授权代理人参加我院采购活动，致使该供应商受到处罚期间，该代理人代理其他供应商参加我院采购活动的；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(6)代理人同期（180天以内）代理2家以上供应商参加我院采购活动的。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5.在商务评审过程中，有下列情形之一的，其报价将被否决：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(1)报价方或其制造商与采购机构有利害关系可能影响谈判公正性的；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(2)报价方参与项目前期咨询或谈判文件编制的；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(3)不同报价方单位负责人为同一人或者存在控股、管理关系的；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(4)报价文件未按谈判文件的要求签署的；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(5)报价方的报价书、资格证明材料未提供，或不符合国家规定或者谈判文件要求的；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(6)同一报价方提交两个以上不同的报价方案或者报价的（但谈判文件要求提交备选方案的除外）；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(7)报价文件不满足谈判文件加注星号（“★”）的重要商务条款要求的；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(8)报价高于谈判文件设定的最高报价限价的（若有）；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(9)报价方有串通报价、弄虚作假、行贿等违法行为的；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(10)存在谈判文件中规定的否决报价的其他商务条款的。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6.技术评审过程中，有下列情形之一的，其报价将被否决：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(1)报价文件不满足谈判文件技术规格中加注星号（“★”）的重要条款（参数）要求，或加注星号（“★”）的重要条款（参数）无符合谈判文件要求的技术资料支持的；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(2)报价文件技术要求中一般参数超出允许偏离的最大范围或最多项数的；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(3)报价文件技术要求中的响应与事实不符或虚假报价的；</w:t>
      </w:r>
    </w:p>
    <w:p>
      <w:pPr>
        <w:spacing w:line="440" w:lineRule="exact"/>
        <w:ind w:firstLine="46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(4)复制谈判文件的技术规格相关部分内容作为报价文件中一部分的；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(5)存在谈判文件中规定的否决报价的其他技术条款的。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7.有下列情形之一的，属于报价方相互串通报价，评审委员会应当对串通报价方按照无效报价处理：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(1)报价方之间协商报价等报价文件的实质性内容的；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(2)报价方之间约定成交供应商的；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(3)报价方之间约定部分报价方放弃报价或者成交的；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(4)属于同一集团、协会、商会等组织成员的报价方按照该组织要求协同报价的；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(5)报价方之间为谋取成交或者排斥特定报价方而采取其他联合行动的。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8.有下列情形之一的，视为报价方相互串通报价，评审委员会应当对串通报价方按照无效报价处理：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(1)不同报价方的报价文件由同一单位或者个人编制的；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(2)不同报价方委托同一单位或者个人办理谈判事宜的；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(3)不同报价方的报价文件载明的项目管理成员为同一人的；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(4)不同报价方的报价文件异常一致或者报价呈规律性差异的；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(5)不同报价方的报价文件相互混装的；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9.有下列情形之一的，属于采购机构与报价方串通报价，评审委员会应当对串通报价方按照无效报价处理：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(1)采购机构在谈判开始前开启报价文件并将有关信息泄露给其他报价方的;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(2)采购机构直接或者间接向报价方泄露采购预算、评审委员会成员等信息的；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(3)采购机构明示或者暗示报价方压低或者抬高报价的；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(4)采购机构授意报价方撤换、修改报价文件的；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(5)采购机构明示或者暗示报价方为特定报价方成交提供方便的；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(6)采购机构与报价方为谋求特定报价方成交而采取其他串通行为的。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10.有下列情形之一的，属于虚假报价，评审委员会应当对报价方按照无效报价处理：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(1)使用通过受让或者租借等方式获取资格、资质证书报价的；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(2)使用伪造、变造的许可证件的；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(3)提供虚假的财务状况或者业绩的；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(4)提供虚假的项目负责人或者主要技术人员简历、劳动关系证明的；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(5)提供虚假信用状况的；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(6)提供虚假样品或借用、冒用其他供应商样品的；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(7)其他弄虚作假行为的。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11.有下列情形之一的，应当终止谈判：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(1)参加谈判的供应商均被淘汰的；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(2)谈判结束后，供应商报价文件均不能满足谈判文件最低要求的；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(3)其他无法继续开展谈判或者无法成交的情形；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(4)因重大变故，取消采购任务的。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（七）经评审委员会评审，认为所有报价都不符合谈判文件要求的，评审委员会可否决所有报价，采购机构有权重新组织采购。</w:t>
      </w:r>
    </w:p>
    <w:p>
      <w:pPr>
        <w:tabs>
          <w:tab w:val="left" w:pos="1608"/>
        </w:tabs>
        <w:spacing w:line="440" w:lineRule="exact"/>
        <w:ind w:firstLine="462" w:firstLineChars="200"/>
        <w:rPr>
          <w:rFonts w:ascii="宋体" w:hAnsi="宋体" w:eastAsia="宋体" w:cs="Times New Roman"/>
          <w:kern w:val="0"/>
          <w:sz w:val="24"/>
          <w:szCs w:val="24"/>
        </w:rPr>
      </w:pPr>
      <w:r>
        <w:rPr>
          <w:rFonts w:ascii="宋体" w:hAnsi="宋体" w:eastAsia="宋体" w:cs="Times New Roman"/>
          <w:kern w:val="0"/>
          <w:sz w:val="24"/>
          <w:szCs w:val="24"/>
        </w:rPr>
        <w:tab/>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质疑与投诉</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hint="eastAsia" w:cs="Times New Roman" w:asciiTheme="minorEastAsia" w:hAnsiTheme="minorEastAsia"/>
          <w:kern w:val="0"/>
          <w:sz w:val="24"/>
          <w:szCs w:val="24"/>
        </w:rPr>
        <w:t>质疑由我院物资采购中心受理，投诉由我院采购领导小组办公室受理。供应商投诉事项应当是经过质疑的事项，未质疑的事项，投诉不予受理</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质疑</w:t>
      </w:r>
      <w:r>
        <w:rPr>
          <w:rFonts w:hint="eastAsia" w:ascii="宋体" w:hAnsi="宋体" w:eastAsia="宋体" w:cs="Times New Roman"/>
          <w:kern w:val="0"/>
          <w:sz w:val="24"/>
          <w:szCs w:val="24"/>
        </w:rPr>
        <w:t>处理机构</w:t>
      </w:r>
      <w:r>
        <w:rPr>
          <w:rFonts w:ascii="宋体" w:hAnsi="宋体" w:eastAsia="宋体" w:cs="Times New Roman"/>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姚老师、陈老师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023-68766150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（五）供应商</w:t>
      </w:r>
      <w:r>
        <w:rPr>
          <w:rFonts w:ascii="宋体" w:hAnsi="宋体" w:eastAsia="宋体" w:cs="Times New Roman"/>
          <w:kern w:val="0"/>
          <w:sz w:val="24"/>
          <w:szCs w:val="24"/>
        </w:rPr>
        <w:t>认为下列事项使自己权益受到损害的，</w:t>
      </w:r>
      <w:r>
        <w:rPr>
          <w:rFonts w:hint="eastAsia" w:ascii="宋体" w:hAnsi="宋体" w:eastAsia="宋体" w:cs="Times New Roman"/>
          <w:kern w:val="0"/>
          <w:sz w:val="24"/>
          <w:szCs w:val="24"/>
        </w:rPr>
        <w:t>可以</w:t>
      </w:r>
      <w:r>
        <w:rPr>
          <w:rFonts w:ascii="宋体" w:hAnsi="宋体" w:eastAsia="宋体" w:cs="Times New Roman"/>
          <w:kern w:val="0"/>
          <w:sz w:val="24"/>
          <w:szCs w:val="24"/>
        </w:rPr>
        <w:t>在评审结果公示期内，向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提出书面质疑</w:t>
      </w:r>
      <w:r>
        <w:rPr>
          <w:rFonts w:hint="eastAsia" w:ascii="宋体" w:hAnsi="宋体" w:eastAsia="宋体" w:cs="Times New Roman"/>
          <w:kern w:val="0"/>
          <w:sz w:val="24"/>
          <w:szCs w:val="24"/>
        </w:rPr>
        <w:t>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w:t>
      </w:r>
      <w:r>
        <w:rPr>
          <w:rFonts w:ascii="宋体" w:hAnsi="宋体" w:eastAsia="宋体" w:cs="Times New Roman"/>
          <w:kern w:val="0"/>
          <w:sz w:val="24"/>
          <w:szCs w:val="24"/>
        </w:rPr>
        <w:t>或者相关人员与供应商有利害关系，应当回避而没有回避的；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采购程序违反军队采购相关规定的；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3.供应商</w:t>
      </w:r>
      <w:r>
        <w:rPr>
          <w:rFonts w:ascii="宋体" w:hAnsi="宋体" w:eastAsia="宋体" w:cs="Times New Roman"/>
          <w:kern w:val="0"/>
          <w:sz w:val="24"/>
          <w:szCs w:val="24"/>
        </w:rPr>
        <w:t>之间</w:t>
      </w:r>
      <w:r>
        <w:rPr>
          <w:rFonts w:hint="eastAsia" w:ascii="宋体" w:hAnsi="宋体" w:eastAsia="宋体" w:cs="Times New Roman"/>
          <w:kern w:val="0"/>
          <w:sz w:val="24"/>
          <w:szCs w:val="24"/>
        </w:rPr>
        <w:t>或者采购机构与供应商之间</w:t>
      </w:r>
      <w:r>
        <w:rPr>
          <w:rFonts w:ascii="宋体" w:hAnsi="宋体" w:eastAsia="宋体" w:cs="Times New Roman"/>
          <w:kern w:val="0"/>
          <w:sz w:val="24"/>
          <w:szCs w:val="24"/>
        </w:rPr>
        <w:t>存在串通行为的；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提供虚假资料</w:t>
      </w:r>
      <w:r>
        <w:rPr>
          <w:rFonts w:hint="eastAsia" w:ascii="宋体" w:hAnsi="宋体" w:eastAsia="宋体" w:cs="Times New Roman"/>
          <w:kern w:val="0"/>
          <w:sz w:val="24"/>
          <w:szCs w:val="24"/>
        </w:rPr>
        <w:t>骗取成交</w:t>
      </w:r>
      <w:r>
        <w:rPr>
          <w:rFonts w:ascii="宋体" w:hAnsi="宋体" w:eastAsia="宋体" w:cs="Times New Roman"/>
          <w:kern w:val="0"/>
          <w:sz w:val="24"/>
          <w:szCs w:val="24"/>
        </w:rPr>
        <w:t>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违反采购相关法律法规使自己权益受到损害的其他事项。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书面质疑</w:t>
      </w:r>
      <w:r>
        <w:rPr>
          <w:rFonts w:hint="eastAsia" w:ascii="宋体" w:hAnsi="宋体" w:eastAsia="宋体" w:cs="Times New Roman"/>
          <w:kern w:val="0"/>
          <w:sz w:val="24"/>
          <w:szCs w:val="24"/>
        </w:rPr>
        <w:t>应</w:t>
      </w:r>
      <w:r>
        <w:rPr>
          <w:rFonts w:ascii="宋体" w:hAnsi="宋体" w:eastAsia="宋体" w:cs="Times New Roman"/>
          <w:kern w:val="0"/>
          <w:sz w:val="24"/>
          <w:szCs w:val="24"/>
        </w:rPr>
        <w:t>由法定代表人签字</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加盖单位公章，同时出具法定代表人资格证明书</w:t>
      </w:r>
      <w:r>
        <w:rPr>
          <w:rFonts w:hint="eastAsia" w:ascii="宋体" w:hAnsi="宋体" w:eastAsia="宋体" w:cs="Times New Roman"/>
          <w:kern w:val="0"/>
          <w:sz w:val="24"/>
          <w:szCs w:val="24"/>
        </w:rPr>
        <w:t>。</w:t>
      </w:r>
      <w:r>
        <w:rPr>
          <w:rFonts w:ascii="宋体" w:hAnsi="宋体" w:eastAsia="宋体" w:cs="Times New Roman"/>
          <w:kern w:val="0"/>
          <w:sz w:val="24"/>
          <w:szCs w:val="24"/>
        </w:rPr>
        <w:t>由</w:t>
      </w:r>
      <w:r>
        <w:rPr>
          <w:rFonts w:hint="eastAsia" w:ascii="宋体" w:hAnsi="宋体" w:eastAsia="宋体" w:cs="Times New Roman"/>
          <w:kern w:val="0"/>
          <w:sz w:val="24"/>
          <w:szCs w:val="24"/>
        </w:rPr>
        <w:t>全权代表</w:t>
      </w:r>
      <w:r>
        <w:rPr>
          <w:rFonts w:ascii="宋体" w:hAnsi="宋体" w:eastAsia="宋体" w:cs="Times New Roman"/>
          <w:kern w:val="0"/>
          <w:sz w:val="24"/>
          <w:szCs w:val="24"/>
        </w:rPr>
        <w:t>签字的，必须有法定代表人授权</w:t>
      </w:r>
      <w:r>
        <w:rPr>
          <w:rFonts w:hint="eastAsia" w:ascii="宋体" w:hAnsi="宋体" w:eastAsia="宋体" w:cs="Times New Roman"/>
          <w:kern w:val="0"/>
          <w:sz w:val="24"/>
          <w:szCs w:val="24"/>
        </w:rPr>
        <w:t>书和</w:t>
      </w:r>
      <w:r>
        <w:rPr>
          <w:rFonts w:ascii="宋体" w:hAnsi="宋体" w:eastAsia="宋体" w:cs="Times New Roman"/>
          <w:kern w:val="0"/>
          <w:sz w:val="24"/>
          <w:szCs w:val="24"/>
        </w:rPr>
        <w:t>法定代表人资格证明书</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w:t>
      </w:r>
      <w:r>
        <w:rPr>
          <w:rFonts w:hint="eastAsia" w:ascii="宋体" w:hAnsi="宋体" w:eastAsia="宋体" w:cs="Times New Roman"/>
          <w:kern w:val="0"/>
          <w:sz w:val="24"/>
          <w:szCs w:val="24"/>
        </w:rPr>
        <w:t>。书面</w:t>
      </w:r>
      <w:r>
        <w:rPr>
          <w:rFonts w:ascii="宋体" w:hAnsi="宋体" w:eastAsia="宋体" w:cs="Times New Roman"/>
          <w:kern w:val="0"/>
          <w:sz w:val="24"/>
          <w:szCs w:val="24"/>
        </w:rPr>
        <w:t>质疑主要包括下列内容：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1.质疑的采购项目名称和项目编号；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w:t>
      </w:r>
      <w:r>
        <w:rPr>
          <w:rFonts w:hint="eastAsia" w:ascii="宋体" w:hAnsi="宋体" w:eastAsia="宋体" w:cs="Times New Roman"/>
          <w:kern w:val="0"/>
          <w:sz w:val="24"/>
          <w:szCs w:val="24"/>
        </w:rPr>
        <w:t>人</w:t>
      </w:r>
      <w:r>
        <w:rPr>
          <w:rFonts w:ascii="宋体" w:hAnsi="宋体" w:eastAsia="宋体" w:cs="Times New Roman"/>
          <w:kern w:val="0"/>
          <w:sz w:val="24"/>
          <w:szCs w:val="24"/>
        </w:rPr>
        <w:t>和被质疑人的名称，质疑人的地址、联系方式等；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具体的质疑事项、事实依据及相关证明材料；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提起质疑的日期。</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ascii="宋体" w:hAnsi="宋体" w:eastAsia="宋体" w:cs="Times New Roman"/>
          <w:kern w:val="0"/>
          <w:sz w:val="24"/>
          <w:szCs w:val="24"/>
        </w:rPr>
        <w:t>质疑有以下情形之一的，</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不予受理：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1.未按规定程序和渠道提出质疑的；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超</w:t>
      </w:r>
      <w:r>
        <w:rPr>
          <w:rFonts w:hint="eastAsia" w:ascii="宋体" w:hAnsi="宋体" w:eastAsia="宋体" w:cs="Times New Roman"/>
          <w:kern w:val="0"/>
          <w:sz w:val="24"/>
          <w:szCs w:val="24"/>
        </w:rPr>
        <w:t>过</w:t>
      </w:r>
      <w:r>
        <w:rPr>
          <w:rFonts w:ascii="宋体" w:hAnsi="宋体" w:eastAsia="宋体" w:cs="Times New Roman"/>
          <w:kern w:val="0"/>
          <w:sz w:val="24"/>
          <w:szCs w:val="24"/>
        </w:rPr>
        <w:t>质疑限期</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3.书面</w:t>
      </w:r>
      <w:r>
        <w:rPr>
          <w:rFonts w:ascii="宋体" w:hAnsi="宋体" w:eastAsia="宋体" w:cs="Times New Roman"/>
          <w:kern w:val="0"/>
          <w:sz w:val="24"/>
          <w:szCs w:val="24"/>
        </w:rPr>
        <w:t>质疑的形式和内容不符合</w:t>
      </w:r>
      <w:r>
        <w:rPr>
          <w:rFonts w:hint="eastAsia" w:ascii="宋体" w:hAnsi="宋体" w:eastAsia="宋体" w:cs="Times New Roman"/>
          <w:kern w:val="0"/>
          <w:sz w:val="24"/>
          <w:szCs w:val="24"/>
        </w:rPr>
        <w:t>上述要求的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提出的质疑事项已经明确答复的；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法律法规规定的其他不予受理的条件。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（八）质疑处理机构</w:t>
      </w:r>
      <w:r>
        <w:rPr>
          <w:rFonts w:ascii="宋体" w:hAnsi="宋体" w:eastAsia="宋体" w:cs="Times New Roman"/>
          <w:kern w:val="0"/>
          <w:sz w:val="24"/>
          <w:szCs w:val="24"/>
        </w:rPr>
        <w:t>应当自质疑签收之日起</w:t>
      </w:r>
      <w:r>
        <w:rPr>
          <w:rFonts w:hint="eastAsia" w:ascii="宋体" w:hAnsi="宋体" w:eastAsia="宋体" w:cs="Times New Roman"/>
          <w:kern w:val="0"/>
          <w:sz w:val="24"/>
          <w:szCs w:val="24"/>
        </w:rPr>
        <w:t>7</w:t>
      </w:r>
      <w:r>
        <w:rPr>
          <w:rFonts w:ascii="宋体" w:hAnsi="宋体" w:eastAsia="宋体" w:cs="Times New Roman"/>
          <w:kern w:val="0"/>
          <w:sz w:val="24"/>
          <w:szCs w:val="24"/>
        </w:rPr>
        <w:t>个工作日内做出书面答复。答复内容同时通知与处理结果有关的供应商，但答复内容不得涉及供应商的商业秘密。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在作出书面答复之前，可以采取现场解答的方式向</w:t>
      </w:r>
      <w:r>
        <w:rPr>
          <w:rFonts w:hint="eastAsia" w:ascii="宋体" w:hAnsi="宋体" w:eastAsia="宋体" w:cs="Times New Roman"/>
          <w:kern w:val="0"/>
          <w:sz w:val="24"/>
          <w:szCs w:val="24"/>
        </w:rPr>
        <w:t>质疑人</w:t>
      </w:r>
      <w:r>
        <w:rPr>
          <w:rFonts w:ascii="宋体" w:hAnsi="宋体" w:eastAsia="宋体" w:cs="Times New Roman"/>
          <w:kern w:val="0"/>
          <w:sz w:val="24"/>
          <w:szCs w:val="24"/>
        </w:rPr>
        <w:t>通报初步处理结果。供应商认可处理结果的，可在出具书面申请后撤回质疑或者放弃质疑，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不再进行书面答复。</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（九）供应商</w:t>
      </w:r>
      <w:r>
        <w:rPr>
          <w:rFonts w:ascii="宋体" w:hAnsi="宋体" w:eastAsia="宋体" w:cs="Times New Roman"/>
          <w:kern w:val="0"/>
          <w:sz w:val="24"/>
          <w:szCs w:val="24"/>
        </w:rPr>
        <w:t>质疑有下列情形之一的，视为无效质疑，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应当驳回质疑：</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无具体的质疑事项，或者质疑事项缺乏事实和法律依据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质疑内容涉及评审工作细节、其他供应商</w:t>
      </w:r>
      <w:r>
        <w:rPr>
          <w:rFonts w:hint="eastAsia" w:ascii="宋体" w:hAnsi="宋体" w:eastAsia="宋体" w:cs="Times New Roman"/>
          <w:kern w:val="0"/>
          <w:sz w:val="24"/>
          <w:szCs w:val="24"/>
        </w:rPr>
        <w:t>报价</w:t>
      </w:r>
      <w:r>
        <w:rPr>
          <w:rFonts w:ascii="宋体" w:hAnsi="宋体" w:eastAsia="宋体" w:cs="Times New Roman"/>
          <w:kern w:val="0"/>
          <w:sz w:val="24"/>
          <w:szCs w:val="24"/>
        </w:rPr>
        <w:t>资料等保密事项且无法提供信息的合法来源</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质疑已经处理并明确答复后，质疑人就同一事项再次提起质疑且未提供新的有效证据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应当对供应商无效质疑情况记录存档</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（十）供应商</w:t>
      </w:r>
      <w:r>
        <w:rPr>
          <w:rFonts w:ascii="宋体" w:hAnsi="宋体" w:eastAsia="宋体" w:cs="Times New Roman"/>
          <w:kern w:val="0"/>
          <w:sz w:val="24"/>
          <w:szCs w:val="24"/>
        </w:rPr>
        <w:t>进行虚假和恶意质疑，干扰</w:t>
      </w:r>
      <w:r>
        <w:rPr>
          <w:rFonts w:hint="eastAsia" w:ascii="宋体" w:hAnsi="宋体" w:eastAsia="宋体" w:cs="Times New Roman"/>
          <w:kern w:val="0"/>
          <w:sz w:val="24"/>
          <w:szCs w:val="24"/>
        </w:rPr>
        <w:t>军队</w:t>
      </w:r>
      <w:r>
        <w:rPr>
          <w:rFonts w:ascii="宋体" w:hAnsi="宋体" w:eastAsia="宋体" w:cs="Times New Roman"/>
          <w:kern w:val="0"/>
          <w:sz w:val="24"/>
          <w:szCs w:val="24"/>
        </w:rPr>
        <w:t>采购活动的，</w:t>
      </w:r>
      <w:r>
        <w:rPr>
          <w:rFonts w:hint="eastAsia" w:ascii="宋体" w:hAnsi="宋体" w:eastAsia="宋体" w:cs="Times New Roman"/>
          <w:kern w:val="0"/>
          <w:sz w:val="24"/>
          <w:szCs w:val="24"/>
        </w:rPr>
        <w:t>质疑处理机构可以申请上级采购管理部门作出处罚。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r>
        <w:rPr>
          <w:rFonts w:ascii="宋体" w:hAnsi="宋体" w:eastAsia="宋体" w:cs="Times New Roman"/>
          <w:kern w:val="0"/>
          <w:sz w:val="24"/>
          <w:szCs w:val="24"/>
        </w:rPr>
        <w:t>。</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七、确定成交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（一）确定成交供应商</w:t>
      </w:r>
    </w:p>
    <w:p>
      <w:pPr>
        <w:spacing w:line="440" w:lineRule="exact"/>
        <w:ind w:firstLine="462" w:firstLineChars="200"/>
        <w:rPr>
          <w:rFonts w:ascii="宋体" w:hAnsi="宋体" w:eastAsia="宋体" w:cs="宋体"/>
          <w:snapToGrid w:val="0"/>
          <w:kern w:val="0"/>
          <w:sz w:val="24"/>
          <w:szCs w:val="24"/>
        </w:rPr>
      </w:pPr>
      <w:r>
        <w:rPr>
          <w:rFonts w:hint="eastAsia" w:ascii="宋体" w:hAnsi="宋体" w:eastAsia="宋体" w:cs="宋体"/>
          <w:snapToGrid w:val="0"/>
          <w:kern w:val="0"/>
          <w:sz w:val="24"/>
          <w:szCs w:val="24"/>
        </w:rPr>
        <w:t>1.评审结束后3个工作日内，采购机构根据评审委员会提出的书面评审报告，在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w:t>
      </w:r>
      <w:r>
        <w:rPr>
          <w:rFonts w:hint="eastAsia" w:ascii="宋体" w:hAnsi="宋体" w:eastAsia="宋体" w:cs="宋体"/>
          <w:snapToGrid w:val="0"/>
          <w:kern w:val="0"/>
          <w:sz w:val="24"/>
          <w:szCs w:val="24"/>
        </w:rPr>
        <w:t>，公示期为3个工作日。在公示期内无异议的，</w:t>
      </w:r>
      <w:r>
        <w:rPr>
          <w:rFonts w:hint="eastAsia" w:cs="Times New Roman" w:asciiTheme="minorEastAsia" w:hAnsiTheme="minorEastAsia"/>
          <w:kern w:val="0"/>
          <w:sz w:val="24"/>
          <w:szCs w:val="24"/>
        </w:rPr>
        <w:t>且通过医院价格审核，确定该项目排名第一的报价方为该项目成交人。</w:t>
      </w:r>
      <w:r>
        <w:rPr>
          <w:rFonts w:hint="eastAsia" w:ascii="宋体" w:hAnsi="宋体" w:eastAsia="宋体" w:cs="宋体"/>
          <w:snapToGrid w:val="0"/>
          <w:kern w:val="0"/>
          <w:sz w:val="24"/>
          <w:szCs w:val="24"/>
        </w:rPr>
        <w:t>公示期内有异议的，按照本须知“质疑与投诉”规定的程序处理。</w:t>
      </w:r>
    </w:p>
    <w:p>
      <w:pPr>
        <w:spacing w:line="440" w:lineRule="exact"/>
        <w:ind w:firstLine="462" w:firstLineChars="200"/>
        <w:rPr>
          <w:rFonts w:ascii="宋体" w:hAnsi="宋体" w:eastAsia="宋体" w:cs="Times New Roman"/>
          <w:bCs/>
          <w:kern w:val="0"/>
          <w:sz w:val="24"/>
          <w:szCs w:val="24"/>
        </w:rPr>
      </w:pPr>
      <w:r>
        <w:rPr>
          <w:rFonts w:hint="eastAsia" w:ascii="宋体" w:hAnsi="宋体" w:eastAsia="宋体" w:cs="Times New Roman"/>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2.采购机构有权根据采购任务变更等实际情况调整成交数量。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（二）</w:t>
      </w:r>
      <w:r>
        <w:rPr>
          <w:rFonts w:hint="eastAsia" w:ascii="宋体" w:hAnsi="宋体" w:eastAsia="宋体" w:cs="Times New Roman"/>
          <w:snapToGrid w:val="0"/>
          <w:kern w:val="0"/>
          <w:sz w:val="24"/>
          <w:szCs w:val="24"/>
        </w:rPr>
        <w:t>成交通知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采购机构在确定成交供应商后3个工作日内，以书面形式向成交供应商发出《成交通知书》。</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《成交通知书》是签订合同草案的依据。若合同草案未获批准，采购机构有权取消合同草案。</w:t>
      </w:r>
      <w:r>
        <w:rPr>
          <w:rFonts w:hint="eastAsia" w:ascii="宋体" w:hAnsi="宋体" w:eastAsia="宋体" w:cs="宋体"/>
          <w:snapToGrid w:val="0"/>
          <w:kern w:val="0"/>
          <w:sz w:val="24"/>
          <w:szCs w:val="24"/>
        </w:rPr>
        <w:t>《成交通知书》及签订的合同草案不能作为成交供应商启动生产或备货的依据，应待正式合同签订后再启动生产备货，否则，由此造成的后果由成交供应商自行承担。</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八、签订</w:t>
      </w:r>
      <w:r>
        <w:rPr>
          <w:rFonts w:ascii="宋体" w:hAnsi="宋体" w:eastAsia="宋体" w:cs="Times New Roman"/>
          <w:kern w:val="0"/>
          <w:sz w:val="24"/>
          <w:szCs w:val="24"/>
        </w:rPr>
        <w:t>合同</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（一）成交供应商在采购机构发出《成交通知书》之日起，按照采购机构规定的时间、地点签订合同。未经采购机构同意逾期不签订合同的，将取消成交供应商成交资格。</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（二）谈判文件、成交供应商的报价文件、补充报价文件、澄清承诺、说明、补正和《成交通知书》等，均为签订合同的依据。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（三）成交供应商应当按照合同约定履行义务，完成采购项目。成交供应商不得向他人转让采购项目，也不得将采购项目分包向他人转让或委托加工。</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（四）</w:t>
      </w:r>
      <w:r>
        <w:rPr>
          <w:rFonts w:hint="eastAsia" w:cs="Times New Roman" w:asciiTheme="minorEastAsia" w:hAnsiTheme="minor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hint="eastAsia" w:ascii="宋体" w:hAnsi="宋体" w:eastAsia="宋体" w:cs="宋体"/>
          <w:snapToGrid w:val="0"/>
          <w:kern w:val="0"/>
          <w:sz w:val="24"/>
          <w:szCs w:val="24"/>
          <w:lang w:val="zh-CN"/>
        </w:rPr>
        <w:t>。</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九、</w:t>
      </w:r>
      <w:r>
        <w:rPr>
          <w:rFonts w:ascii="宋体" w:hAnsi="宋体" w:eastAsia="宋体" w:cs="Times New Roman"/>
          <w:kern w:val="0"/>
          <w:sz w:val="24"/>
          <w:szCs w:val="24"/>
        </w:rPr>
        <w:t>产品</w:t>
      </w:r>
      <w:r>
        <w:rPr>
          <w:rFonts w:hint="eastAsia" w:ascii="宋体" w:hAnsi="宋体" w:eastAsia="宋体" w:cs="Times New Roman"/>
          <w:kern w:val="0"/>
          <w:sz w:val="24"/>
          <w:szCs w:val="24"/>
        </w:rPr>
        <w:t>质量</w:t>
      </w:r>
      <w:r>
        <w:rPr>
          <w:rFonts w:ascii="宋体" w:hAnsi="宋体" w:eastAsia="宋体" w:cs="Times New Roman"/>
          <w:kern w:val="0"/>
          <w:sz w:val="24"/>
          <w:szCs w:val="24"/>
        </w:rPr>
        <w:t>检验验收</w:t>
      </w:r>
    </w:p>
    <w:p>
      <w:pPr>
        <w:spacing w:line="440" w:lineRule="exact"/>
        <w:ind w:firstLine="462" w:firstLineChars="200"/>
        <w:rPr>
          <w:rFonts w:ascii="宋体" w:hAnsi="宋体" w:eastAsia="宋体" w:cs="宋体"/>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产品质量验收由合同甲方或者其指定（委托）的质检机构组织实施，成交供应商应予以积极配合。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75" w:firstLineChars="249"/>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谈判文件、报价文件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成交供应商应将所提供货物的装箱清单、配件、随机工具、用户使用手册、维修手册、原厂保修卡等资料交付给合同甲方。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（四）如货物经验收不能达到谈判约定的技术要求或质量标准，合同甲方有权退换货，并视作成交供应商不能交付货物而须支付违约赔偿金给合同甲方，合同甲方还可依法追究成交供应商的违约责任。</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十、</w:t>
      </w:r>
      <w:r>
        <w:rPr>
          <w:rFonts w:ascii="宋体" w:hAnsi="宋体" w:eastAsia="宋体" w:cs="Times New Roman"/>
          <w:kern w:val="0"/>
          <w:sz w:val="24"/>
          <w:szCs w:val="24"/>
        </w:rPr>
        <w:t>解释权限</w:t>
      </w:r>
    </w:p>
    <w:p>
      <w:pPr>
        <w:spacing w:line="440" w:lineRule="exact"/>
        <w:ind w:firstLine="462" w:firstLineChars="200"/>
        <w:rPr>
          <w:rFonts w:ascii="宋体" w:hAnsi="宋体" w:eastAsia="宋体" w:cs="Times New Roman"/>
          <w:kern w:val="0"/>
          <w:sz w:val="24"/>
          <w:szCs w:val="24"/>
        </w:rPr>
      </w:pPr>
    </w:p>
    <w:p>
      <w:pPr>
        <w:spacing w:line="440" w:lineRule="exact"/>
        <w:ind w:firstLine="462" w:firstLineChars="200"/>
        <w:rPr>
          <w:rFonts w:ascii="仿宋_GB2312" w:hAnsi="宋体" w:eastAsia="仿宋_GB2312" w:cs="Times New Roman"/>
          <w:kern w:val="0"/>
          <w:sz w:val="32"/>
          <w:szCs w:val="32"/>
        </w:rPr>
        <w:sectPr>
          <w:headerReference r:id="rId7" w:type="default"/>
          <w:pgSz w:w="11906" w:h="16838"/>
          <w:pgMar w:top="2098" w:right="1474" w:bottom="1985" w:left="1588" w:header="851" w:footer="964" w:gutter="0"/>
          <w:cols w:space="425" w:num="1"/>
          <w:docGrid w:type="linesAndChars" w:linePitch="579" w:charSpace="-1844"/>
        </w:sectPr>
      </w:pPr>
      <w:r>
        <w:rPr>
          <w:rFonts w:hint="eastAsia" w:ascii="宋体" w:hAnsi="宋体" w:eastAsia="宋体" w:cs="Times New Roman"/>
          <w:kern w:val="0"/>
          <w:sz w:val="24"/>
          <w:szCs w:val="24"/>
        </w:rPr>
        <w:t>本谈判文件由采购机构负责解释。</w:t>
      </w:r>
    </w:p>
    <w:p>
      <w:pPr>
        <w:jc w:val="center"/>
        <w:outlineLvl w:val="0"/>
        <w:rPr>
          <w:rFonts w:ascii="黑体" w:hAnsi="黑体" w:eastAsia="黑体" w:cs="Times New Roman"/>
          <w:bCs/>
          <w:kern w:val="0"/>
          <w:sz w:val="32"/>
          <w:szCs w:val="32"/>
        </w:rPr>
      </w:pPr>
      <w:bookmarkStart w:id="14" w:name="_Toc435540981"/>
      <w:bookmarkStart w:id="15" w:name="_Toc390713969"/>
      <w:bookmarkStart w:id="16" w:name="_Toc285612603"/>
      <w:bookmarkStart w:id="17" w:name="_Toc43485654"/>
      <w:bookmarkStart w:id="18" w:name="_Toc37172690"/>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bookmarkEnd w:id="18"/>
    </w:p>
    <w:p>
      <w:pPr>
        <w:spacing w:line="360" w:lineRule="auto"/>
        <w:ind w:right="1212"/>
        <w:jc w:val="center"/>
        <w:rPr>
          <w:rFonts w:ascii="宋体" w:hAnsi="宋体"/>
          <w:b/>
          <w:bCs/>
          <w:szCs w:val="21"/>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hint="eastAsia" w:ascii="宋体" w:hAnsi="宋体"/>
          <w:b/>
          <w:bCs/>
          <w:szCs w:val="21"/>
        </w:rPr>
        <w:t xml:space="preserve">                   </w:t>
      </w:r>
      <w:r>
        <w:rPr>
          <w:rFonts w:hint="eastAsia" w:ascii="宋体" w:hAnsi="宋体"/>
          <w:sz w:val="18"/>
          <w:szCs w:val="18"/>
        </w:rPr>
        <w:t>合同编号：</w:t>
      </w:r>
      <w:r>
        <w:rPr>
          <w:rFonts w:hint="eastAsia" w:ascii="宋体" w:hAnsi="宋体"/>
          <w:sz w:val="18"/>
          <w:szCs w:val="18"/>
          <w:u w:val="single"/>
        </w:rPr>
        <w:t xml:space="preserve">                  </w:t>
      </w:r>
    </w:p>
    <w:p>
      <w:pPr>
        <w:spacing w:line="360" w:lineRule="auto"/>
        <w:jc w:val="center"/>
        <w:rPr>
          <w:rFonts w:ascii="宋体" w:hAnsi="宋体"/>
          <w:b/>
          <w:bCs/>
          <w:sz w:val="72"/>
          <w:szCs w:val="72"/>
        </w:rPr>
      </w:pPr>
    </w:p>
    <w:p>
      <w:pPr>
        <w:spacing w:line="360" w:lineRule="auto"/>
        <w:jc w:val="center"/>
        <w:rPr>
          <w:rFonts w:ascii="宋体" w:hAnsi="宋体"/>
          <w:b/>
          <w:bCs/>
          <w:sz w:val="72"/>
          <w:szCs w:val="72"/>
        </w:rPr>
      </w:pPr>
      <w:r>
        <w:rPr>
          <w:rFonts w:hint="eastAsia" w:ascii="宋体" w:hAnsi="宋体"/>
          <w:b/>
          <w:bCs/>
          <w:sz w:val="72"/>
          <w:szCs w:val="72"/>
        </w:rPr>
        <w:t>信息类项目合同书</w:t>
      </w:r>
    </w:p>
    <w:p>
      <w:pPr>
        <w:spacing w:line="360" w:lineRule="auto"/>
        <w:ind w:left="700" w:hanging="698" w:hangingChars="99"/>
        <w:jc w:val="center"/>
        <w:rPr>
          <w:rFonts w:ascii="宋体" w:hAnsi="宋体"/>
          <w:b/>
          <w:bCs/>
          <w:sz w:val="72"/>
          <w:szCs w:val="72"/>
        </w:rPr>
      </w:pPr>
    </w:p>
    <w:p>
      <w:pPr>
        <w:spacing w:line="360" w:lineRule="auto"/>
        <w:rPr>
          <w:rFonts w:ascii="宋体" w:hAnsi="宋体"/>
          <w:b/>
          <w:bCs/>
          <w:sz w:val="32"/>
          <w:szCs w:val="32"/>
        </w:rPr>
      </w:pPr>
    </w:p>
    <w:p>
      <w:pPr>
        <w:spacing w:line="360" w:lineRule="auto"/>
        <w:ind w:firstLine="854" w:firstLineChars="280"/>
        <w:rPr>
          <w:rFonts w:ascii="宋体" w:hAnsi="宋体"/>
          <w:b/>
          <w:bCs/>
          <w:sz w:val="32"/>
          <w:szCs w:val="32"/>
        </w:rPr>
      </w:pPr>
      <w:r>
        <w:rPr>
          <w:rFonts w:hint="eastAsia" w:ascii="宋体" w:hAnsi="宋体"/>
          <w:b/>
          <w:bCs/>
          <w:sz w:val="32"/>
          <w:szCs w:val="32"/>
        </w:rPr>
        <w:t xml:space="preserve">项目名称: </w:t>
      </w:r>
    </w:p>
    <w:p>
      <w:pPr>
        <w:spacing w:line="360" w:lineRule="auto"/>
        <w:ind w:firstLine="854" w:firstLineChars="280"/>
        <w:rPr>
          <w:rFonts w:ascii="宋体" w:hAnsi="宋体"/>
          <w:b/>
          <w:bCs/>
          <w:sz w:val="32"/>
          <w:szCs w:val="32"/>
        </w:rPr>
      </w:pPr>
      <w:r>
        <w:rPr>
          <w:rFonts w:hint="eastAsia" w:ascii="宋体" w:hAnsi="宋体"/>
          <w:b/>
          <w:bCs/>
          <w:sz w:val="32"/>
          <w:szCs w:val="32"/>
        </w:rPr>
        <w:t>项目编号:</w:t>
      </w:r>
    </w:p>
    <w:p>
      <w:pPr>
        <w:spacing w:line="360" w:lineRule="auto"/>
        <w:ind w:firstLine="854" w:firstLineChars="280"/>
        <w:rPr>
          <w:rFonts w:ascii="宋体" w:hAnsi="宋体"/>
          <w:b/>
          <w:bCs/>
          <w:sz w:val="32"/>
          <w:szCs w:val="32"/>
          <w:u w:val="single"/>
        </w:rPr>
      </w:pPr>
      <w:r>
        <w:rPr>
          <w:rFonts w:hint="eastAsia" w:ascii="宋体" w:hAnsi="宋体"/>
          <w:b/>
          <w:bCs/>
          <w:sz w:val="32"/>
          <w:szCs w:val="32"/>
        </w:rPr>
        <w:t>甲    方:</w:t>
      </w:r>
    </w:p>
    <w:p>
      <w:pPr>
        <w:spacing w:line="360" w:lineRule="auto"/>
        <w:ind w:firstLine="854" w:firstLineChars="280"/>
        <w:rPr>
          <w:rFonts w:ascii="宋体" w:hAnsi="宋体"/>
          <w:b/>
          <w:bCs/>
          <w:sz w:val="32"/>
          <w:szCs w:val="32"/>
          <w:u w:val="single"/>
        </w:rPr>
      </w:pPr>
      <w:r>
        <w:rPr>
          <w:rFonts w:hint="eastAsia" w:ascii="宋体" w:hAnsi="宋体"/>
          <w:b/>
          <w:bCs/>
          <w:sz w:val="32"/>
          <w:szCs w:val="32"/>
        </w:rPr>
        <w:t>乙    方:</w:t>
      </w:r>
    </w:p>
    <w:p>
      <w:pPr>
        <w:spacing w:line="360" w:lineRule="auto"/>
        <w:rPr>
          <w:rFonts w:ascii="宋体" w:hAnsi="宋体"/>
          <w:b/>
          <w:bCs/>
          <w:sz w:val="32"/>
          <w:szCs w:val="32"/>
        </w:rPr>
      </w:pPr>
    </w:p>
    <w:p>
      <w:pPr>
        <w:spacing w:line="360" w:lineRule="auto"/>
        <w:ind w:firstLine="2989" w:firstLineChars="980"/>
        <w:rPr>
          <w:rFonts w:ascii="宋体" w:hAnsi="宋体"/>
          <w:b/>
          <w:bCs/>
          <w:sz w:val="32"/>
          <w:szCs w:val="32"/>
        </w:rPr>
      </w:pPr>
    </w:p>
    <w:p>
      <w:pPr>
        <w:spacing w:line="360" w:lineRule="auto"/>
        <w:ind w:firstLine="2496" w:firstLineChars="1280"/>
        <w:rPr>
          <w:rFonts w:ascii="宋体" w:hAnsi="宋体"/>
          <w:bCs/>
        </w:rPr>
      </w:pPr>
      <w:r>
        <w:rPr>
          <w:rFonts w:hint="eastAsia" w:ascii="宋体" w:hAnsi="宋体"/>
          <w:bCs/>
        </w:rPr>
        <w:t>签署日期：   年   月   日</w:t>
      </w:r>
    </w:p>
    <w:p>
      <w:pPr>
        <w:spacing w:line="360" w:lineRule="auto"/>
        <w:ind w:firstLine="2496" w:firstLineChars="1280"/>
        <w:rPr>
          <w:rFonts w:ascii="宋体" w:hAnsi="宋体"/>
          <w:bCs/>
        </w:rPr>
      </w:pPr>
    </w:p>
    <w:p>
      <w:pPr>
        <w:spacing w:line="360" w:lineRule="auto"/>
        <w:ind w:firstLine="2496" w:firstLineChars="1280"/>
        <w:rPr>
          <w:rFonts w:ascii="宋体" w:hAnsi="宋体"/>
          <w:bCs/>
        </w:rPr>
      </w:pPr>
    </w:p>
    <w:p>
      <w:pPr>
        <w:spacing w:line="360" w:lineRule="auto"/>
        <w:ind w:firstLine="2496" w:firstLineChars="1280"/>
        <w:rPr>
          <w:rFonts w:ascii="宋体" w:hAnsi="宋体"/>
          <w:bCs/>
        </w:rPr>
      </w:pPr>
    </w:p>
    <w:p>
      <w:pPr>
        <w:spacing w:line="360" w:lineRule="auto"/>
        <w:ind w:firstLine="2496" w:firstLineChars="1280"/>
        <w:rPr>
          <w:rFonts w:ascii="宋体" w:hAnsi="宋体"/>
          <w:bCs/>
        </w:rPr>
      </w:pPr>
    </w:p>
    <w:p>
      <w:pPr>
        <w:spacing w:line="360" w:lineRule="auto"/>
        <w:ind w:firstLine="2496" w:firstLineChars="1280"/>
        <w:rPr>
          <w:rFonts w:ascii="宋体" w:hAnsi="宋体"/>
          <w:bCs/>
        </w:rPr>
      </w:pPr>
    </w:p>
    <w:p>
      <w:pPr>
        <w:adjustRightInd w:val="0"/>
        <w:snapToGrid w:val="0"/>
        <w:spacing w:line="360" w:lineRule="auto"/>
        <w:jc w:val="left"/>
        <w:rPr>
          <w:sz w:val="24"/>
        </w:rPr>
      </w:pPr>
      <w:r>
        <w:rPr>
          <w:rFonts w:hint="eastAsia"/>
          <w:sz w:val="24"/>
        </w:rPr>
        <w:t>根据《中华人民共和国合同法》的有关规定，就甲方向乙方订购“</w:t>
      </w:r>
      <w:r>
        <w:rPr>
          <w:rFonts w:hint="eastAsia"/>
          <w:sz w:val="24"/>
          <w:u w:val="single"/>
        </w:rPr>
        <w:t xml:space="preserve">             </w:t>
      </w:r>
      <w:r>
        <w:rPr>
          <w:rFonts w:hint="eastAsia"/>
          <w:sz w:val="24"/>
        </w:rPr>
        <w:t>”，甲、乙双方在平等、自愿的基础上，经过充分协商一致，达成如下合同，以便共同遵守：</w:t>
      </w:r>
    </w:p>
    <w:p>
      <w:pPr>
        <w:spacing w:beforeLines="50" w:line="440" w:lineRule="exact"/>
        <w:rPr>
          <w:b/>
          <w:sz w:val="24"/>
        </w:rPr>
      </w:pPr>
      <w:r>
        <w:rPr>
          <w:rFonts w:hint="eastAsia"/>
          <w:b/>
          <w:sz w:val="24"/>
        </w:rPr>
        <w:t>一、产品</w:t>
      </w:r>
      <w:r>
        <w:rPr>
          <w:rFonts w:hint="eastAsia" w:ascii="宋体" w:hAnsi="宋体"/>
          <w:b/>
          <w:color w:val="000000"/>
          <w:sz w:val="24"/>
        </w:rPr>
        <w:t>清单列表</w:t>
      </w:r>
    </w:p>
    <w:tbl>
      <w:tblPr>
        <w:tblStyle w:val="18"/>
        <w:tblW w:w="9946"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6"/>
        <w:gridCol w:w="1984"/>
        <w:gridCol w:w="709"/>
        <w:gridCol w:w="1559"/>
        <w:gridCol w:w="1134"/>
        <w:gridCol w:w="1276"/>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986" w:type="dxa"/>
            <w:vAlign w:val="center"/>
          </w:tcPr>
          <w:p>
            <w:pPr>
              <w:spacing w:line="360" w:lineRule="auto"/>
              <w:jc w:val="center"/>
              <w:rPr>
                <w:rFonts w:ascii="宋体" w:hAnsi="宋体"/>
                <w:sz w:val="24"/>
              </w:rPr>
            </w:pPr>
            <w:r>
              <w:rPr>
                <w:rFonts w:hint="eastAsia" w:ascii="宋体" w:hAnsi="宋体"/>
                <w:sz w:val="24"/>
              </w:rPr>
              <w:t>产品</w:t>
            </w:r>
            <w:r>
              <w:rPr>
                <w:rFonts w:ascii="宋体" w:hAnsi="宋体"/>
                <w:sz w:val="24"/>
              </w:rPr>
              <w:t>名称</w:t>
            </w:r>
          </w:p>
        </w:tc>
        <w:tc>
          <w:tcPr>
            <w:tcW w:w="1984" w:type="dxa"/>
            <w:vAlign w:val="center"/>
          </w:tcPr>
          <w:p>
            <w:pPr>
              <w:spacing w:line="360" w:lineRule="auto"/>
              <w:jc w:val="center"/>
              <w:rPr>
                <w:rFonts w:ascii="宋体" w:hAnsi="宋体"/>
                <w:sz w:val="24"/>
              </w:rPr>
            </w:pPr>
            <w:r>
              <w:rPr>
                <w:rFonts w:ascii="宋体" w:hAnsi="宋体"/>
                <w:sz w:val="24"/>
              </w:rPr>
              <w:t>规格型号</w:t>
            </w:r>
          </w:p>
        </w:tc>
        <w:tc>
          <w:tcPr>
            <w:tcW w:w="709" w:type="dxa"/>
            <w:vAlign w:val="center"/>
          </w:tcPr>
          <w:p>
            <w:pPr>
              <w:spacing w:line="360" w:lineRule="auto"/>
              <w:jc w:val="center"/>
              <w:rPr>
                <w:rFonts w:ascii="宋体" w:hAnsi="宋体"/>
                <w:sz w:val="24"/>
              </w:rPr>
            </w:pPr>
            <w:r>
              <w:rPr>
                <w:rFonts w:ascii="宋体" w:hAnsi="宋体"/>
                <w:sz w:val="24"/>
              </w:rPr>
              <w:t>数量</w:t>
            </w:r>
          </w:p>
        </w:tc>
        <w:tc>
          <w:tcPr>
            <w:tcW w:w="1559" w:type="dxa"/>
            <w:vAlign w:val="center"/>
          </w:tcPr>
          <w:p>
            <w:pPr>
              <w:spacing w:line="360" w:lineRule="auto"/>
              <w:jc w:val="center"/>
              <w:rPr>
                <w:rFonts w:ascii="宋体" w:hAnsi="宋体"/>
                <w:sz w:val="24"/>
              </w:rPr>
            </w:pPr>
            <w:r>
              <w:rPr>
                <w:rFonts w:ascii="宋体" w:hAnsi="宋体"/>
                <w:sz w:val="24"/>
              </w:rPr>
              <w:t>单价</w:t>
            </w:r>
          </w:p>
        </w:tc>
        <w:tc>
          <w:tcPr>
            <w:tcW w:w="1134" w:type="dxa"/>
            <w:vAlign w:val="center"/>
          </w:tcPr>
          <w:p>
            <w:pPr>
              <w:spacing w:line="360" w:lineRule="auto"/>
              <w:jc w:val="center"/>
              <w:rPr>
                <w:rFonts w:ascii="宋体" w:hAnsi="宋体"/>
                <w:sz w:val="24"/>
              </w:rPr>
            </w:pPr>
            <w:r>
              <w:rPr>
                <w:rFonts w:ascii="宋体" w:hAnsi="宋体"/>
                <w:sz w:val="24"/>
              </w:rPr>
              <w:t>总价</w:t>
            </w:r>
          </w:p>
        </w:tc>
        <w:tc>
          <w:tcPr>
            <w:tcW w:w="1276" w:type="dxa"/>
            <w:vAlign w:val="center"/>
          </w:tcPr>
          <w:p>
            <w:pPr>
              <w:spacing w:line="360" w:lineRule="auto"/>
              <w:jc w:val="center"/>
              <w:rPr>
                <w:rFonts w:ascii="宋体" w:hAnsi="宋体"/>
                <w:sz w:val="24"/>
              </w:rPr>
            </w:pPr>
            <w:r>
              <w:rPr>
                <w:rFonts w:ascii="宋体" w:hAnsi="宋体"/>
                <w:sz w:val="24"/>
              </w:rPr>
              <w:t>交货时间</w:t>
            </w:r>
          </w:p>
        </w:tc>
        <w:tc>
          <w:tcPr>
            <w:tcW w:w="1298" w:type="dxa"/>
            <w:vAlign w:val="center"/>
          </w:tcPr>
          <w:p>
            <w:pPr>
              <w:spacing w:line="360" w:lineRule="auto"/>
              <w:jc w:val="center"/>
              <w:rPr>
                <w:rFonts w:ascii="宋体" w:hAnsi="宋体"/>
                <w:sz w:val="24"/>
              </w:rPr>
            </w:pPr>
            <w:r>
              <w:rPr>
                <w:rFonts w:ascii="宋体" w:hAnsi="宋体"/>
                <w:sz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vAlign w:val="center"/>
          </w:tcPr>
          <w:p>
            <w:pPr>
              <w:spacing w:line="360" w:lineRule="auto"/>
              <w:rPr>
                <w:rFonts w:ascii="宋体" w:hAnsi="宋体"/>
                <w:sz w:val="24"/>
              </w:rPr>
            </w:pPr>
          </w:p>
        </w:tc>
        <w:tc>
          <w:tcPr>
            <w:tcW w:w="1984" w:type="dxa"/>
            <w:vAlign w:val="center"/>
          </w:tcPr>
          <w:p>
            <w:pPr>
              <w:spacing w:line="360" w:lineRule="auto"/>
              <w:jc w:val="left"/>
              <w:rPr>
                <w:rFonts w:ascii="宋体" w:hAnsi="宋体"/>
                <w:sz w:val="24"/>
              </w:rPr>
            </w:pPr>
          </w:p>
        </w:tc>
        <w:tc>
          <w:tcPr>
            <w:tcW w:w="709" w:type="dxa"/>
            <w:vAlign w:val="center"/>
          </w:tcPr>
          <w:p>
            <w:pPr>
              <w:spacing w:line="360" w:lineRule="auto"/>
              <w:rPr>
                <w:rFonts w:ascii="宋体" w:hAnsi="宋体"/>
                <w:sz w:val="24"/>
              </w:rPr>
            </w:pPr>
          </w:p>
        </w:tc>
        <w:tc>
          <w:tcPr>
            <w:tcW w:w="1559" w:type="dxa"/>
            <w:vAlign w:val="center"/>
          </w:tcPr>
          <w:p>
            <w:pPr>
              <w:spacing w:line="360" w:lineRule="auto"/>
              <w:rPr>
                <w:rFonts w:ascii="宋体" w:hAnsi="宋体"/>
                <w:sz w:val="24"/>
              </w:rPr>
            </w:pPr>
          </w:p>
        </w:tc>
        <w:tc>
          <w:tcPr>
            <w:tcW w:w="1134" w:type="dxa"/>
            <w:vAlign w:val="center"/>
          </w:tcPr>
          <w:p>
            <w:pPr>
              <w:spacing w:line="360" w:lineRule="auto"/>
              <w:rPr>
                <w:rFonts w:ascii="宋体" w:hAnsi="宋体"/>
                <w:sz w:val="24"/>
              </w:rPr>
            </w:pPr>
          </w:p>
        </w:tc>
        <w:tc>
          <w:tcPr>
            <w:tcW w:w="1276" w:type="dxa"/>
            <w:vMerge w:val="restart"/>
            <w:vAlign w:val="center"/>
          </w:tcPr>
          <w:p>
            <w:pPr>
              <w:spacing w:line="360" w:lineRule="auto"/>
              <w:rPr>
                <w:rFonts w:ascii="宋体" w:hAnsi="宋体"/>
                <w:sz w:val="24"/>
              </w:rPr>
            </w:pPr>
          </w:p>
        </w:tc>
        <w:tc>
          <w:tcPr>
            <w:tcW w:w="1298" w:type="dxa"/>
            <w:vMerge w:val="restart"/>
            <w:vAlign w:val="center"/>
          </w:tcPr>
          <w:p>
            <w:pPr>
              <w:spacing w:line="360" w:lineRule="auto"/>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vAlign w:val="center"/>
          </w:tcPr>
          <w:p>
            <w:pPr>
              <w:spacing w:line="360" w:lineRule="auto"/>
              <w:rPr>
                <w:rFonts w:ascii="宋体" w:hAnsi="宋体"/>
                <w:sz w:val="24"/>
              </w:rPr>
            </w:pPr>
          </w:p>
        </w:tc>
        <w:tc>
          <w:tcPr>
            <w:tcW w:w="1984" w:type="dxa"/>
            <w:vAlign w:val="center"/>
          </w:tcPr>
          <w:p>
            <w:pPr>
              <w:spacing w:line="360" w:lineRule="auto"/>
              <w:rPr>
                <w:rFonts w:ascii="宋体" w:hAnsi="宋体"/>
                <w:sz w:val="24"/>
              </w:rPr>
            </w:pPr>
          </w:p>
        </w:tc>
        <w:tc>
          <w:tcPr>
            <w:tcW w:w="709" w:type="dxa"/>
            <w:vAlign w:val="center"/>
          </w:tcPr>
          <w:p>
            <w:pPr>
              <w:spacing w:line="360" w:lineRule="auto"/>
              <w:rPr>
                <w:rFonts w:ascii="宋体" w:hAnsi="宋体"/>
                <w:sz w:val="24"/>
              </w:rPr>
            </w:pPr>
          </w:p>
        </w:tc>
        <w:tc>
          <w:tcPr>
            <w:tcW w:w="1559" w:type="dxa"/>
            <w:vAlign w:val="center"/>
          </w:tcPr>
          <w:p>
            <w:pPr>
              <w:spacing w:line="360" w:lineRule="auto"/>
              <w:rPr>
                <w:rFonts w:ascii="宋体" w:hAnsi="宋体"/>
                <w:sz w:val="24"/>
              </w:rPr>
            </w:pPr>
          </w:p>
        </w:tc>
        <w:tc>
          <w:tcPr>
            <w:tcW w:w="1134" w:type="dxa"/>
            <w:vAlign w:val="center"/>
          </w:tcPr>
          <w:p>
            <w:pPr>
              <w:spacing w:line="360" w:lineRule="auto"/>
              <w:rPr>
                <w:rFonts w:ascii="宋体" w:hAnsi="宋体"/>
                <w:sz w:val="24"/>
              </w:rPr>
            </w:pPr>
          </w:p>
        </w:tc>
        <w:tc>
          <w:tcPr>
            <w:tcW w:w="1276" w:type="dxa"/>
            <w:vMerge w:val="continue"/>
            <w:vAlign w:val="center"/>
          </w:tcPr>
          <w:p>
            <w:pPr>
              <w:spacing w:line="360" w:lineRule="auto"/>
              <w:rPr>
                <w:rFonts w:ascii="宋体" w:hAnsi="宋体"/>
                <w:sz w:val="24"/>
              </w:rPr>
            </w:pPr>
          </w:p>
        </w:tc>
        <w:tc>
          <w:tcPr>
            <w:tcW w:w="1298" w:type="dxa"/>
            <w:vMerge w:val="continue"/>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1986" w:type="dxa"/>
            <w:vAlign w:val="center"/>
          </w:tcPr>
          <w:p>
            <w:pPr>
              <w:spacing w:line="360" w:lineRule="auto"/>
              <w:rPr>
                <w:rFonts w:ascii="宋体" w:hAnsi="宋体"/>
                <w:sz w:val="24"/>
              </w:rPr>
            </w:pPr>
          </w:p>
        </w:tc>
        <w:tc>
          <w:tcPr>
            <w:tcW w:w="1984" w:type="dxa"/>
            <w:vAlign w:val="center"/>
          </w:tcPr>
          <w:p>
            <w:pPr>
              <w:spacing w:line="360" w:lineRule="auto"/>
              <w:rPr>
                <w:rFonts w:ascii="宋体" w:hAnsi="宋体"/>
                <w:sz w:val="24"/>
              </w:rPr>
            </w:pPr>
          </w:p>
        </w:tc>
        <w:tc>
          <w:tcPr>
            <w:tcW w:w="709" w:type="dxa"/>
            <w:vAlign w:val="center"/>
          </w:tcPr>
          <w:p>
            <w:pPr>
              <w:spacing w:line="360" w:lineRule="auto"/>
              <w:rPr>
                <w:rFonts w:ascii="宋体" w:hAnsi="宋体"/>
                <w:sz w:val="24"/>
              </w:rPr>
            </w:pPr>
          </w:p>
        </w:tc>
        <w:tc>
          <w:tcPr>
            <w:tcW w:w="1559" w:type="dxa"/>
            <w:vAlign w:val="center"/>
          </w:tcPr>
          <w:p>
            <w:pPr>
              <w:spacing w:line="360" w:lineRule="auto"/>
              <w:rPr>
                <w:rFonts w:ascii="宋体" w:hAnsi="宋体"/>
                <w:sz w:val="24"/>
              </w:rPr>
            </w:pPr>
          </w:p>
        </w:tc>
        <w:tc>
          <w:tcPr>
            <w:tcW w:w="1134" w:type="dxa"/>
            <w:vAlign w:val="center"/>
          </w:tcPr>
          <w:p>
            <w:pPr>
              <w:spacing w:line="360" w:lineRule="auto"/>
              <w:rPr>
                <w:rFonts w:ascii="宋体" w:hAnsi="宋体"/>
                <w:sz w:val="24"/>
              </w:rPr>
            </w:pPr>
          </w:p>
        </w:tc>
        <w:tc>
          <w:tcPr>
            <w:tcW w:w="1276" w:type="dxa"/>
            <w:vMerge w:val="continue"/>
            <w:vAlign w:val="center"/>
          </w:tcPr>
          <w:p>
            <w:pPr>
              <w:spacing w:line="360" w:lineRule="auto"/>
              <w:rPr>
                <w:rFonts w:ascii="宋体" w:hAnsi="宋体"/>
                <w:sz w:val="24"/>
              </w:rPr>
            </w:pPr>
          </w:p>
        </w:tc>
        <w:tc>
          <w:tcPr>
            <w:tcW w:w="1298" w:type="dxa"/>
            <w:vMerge w:val="continue"/>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trPr>
        <w:tc>
          <w:tcPr>
            <w:tcW w:w="9946" w:type="dxa"/>
            <w:gridSpan w:val="7"/>
            <w:vAlign w:val="center"/>
          </w:tcPr>
          <w:p>
            <w:pPr>
              <w:spacing w:line="360" w:lineRule="auto"/>
              <w:rPr>
                <w:rFonts w:ascii="宋体" w:hAnsi="宋体"/>
                <w:sz w:val="24"/>
              </w:rPr>
            </w:pPr>
            <w:r>
              <w:rPr>
                <w:rFonts w:ascii="宋体" w:hAnsi="宋体"/>
                <w:sz w:val="24"/>
              </w:rPr>
              <w:t>合计人民币（小写）：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46" w:type="dxa"/>
            <w:gridSpan w:val="7"/>
            <w:vAlign w:val="center"/>
          </w:tcPr>
          <w:p>
            <w:pPr>
              <w:spacing w:line="360" w:lineRule="auto"/>
              <w:rPr>
                <w:rFonts w:ascii="宋体" w:hAnsi="宋体"/>
                <w:sz w:val="24"/>
              </w:rPr>
            </w:pPr>
            <w:r>
              <w:rPr>
                <w:rFonts w:ascii="宋体" w:hAnsi="宋体"/>
                <w:sz w:val="24"/>
              </w:rPr>
              <w:t xml:space="preserve">合计人民币（大写）：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46" w:type="dxa"/>
            <w:gridSpan w:val="7"/>
            <w:vAlign w:val="center"/>
          </w:tcPr>
          <w:p>
            <w:pPr>
              <w:spacing w:line="360" w:lineRule="auto"/>
              <w:rPr>
                <w:rFonts w:ascii="宋体" w:hAnsi="宋体"/>
                <w:sz w:val="24"/>
              </w:rPr>
            </w:pPr>
            <w:r>
              <w:rPr>
                <w:rFonts w:hint="eastAsia" w:ascii="宋体" w:hAnsi="宋体"/>
                <w:sz w:val="24"/>
              </w:rPr>
              <w:t>备注：具体配置请详见附件</w:t>
            </w:r>
          </w:p>
        </w:tc>
      </w:tr>
    </w:tbl>
    <w:p>
      <w:pPr>
        <w:spacing w:line="440" w:lineRule="exact"/>
        <w:rPr>
          <w:rFonts w:ascii="宋体" w:hAnsi="宋体"/>
          <w:sz w:val="24"/>
        </w:rPr>
      </w:pPr>
    </w:p>
    <w:p>
      <w:pPr>
        <w:spacing w:line="440" w:lineRule="exact"/>
        <w:rPr>
          <w:b/>
          <w:sz w:val="24"/>
        </w:rPr>
      </w:pPr>
      <w:bookmarkStart w:id="19" w:name="_Toc86481558"/>
      <w:r>
        <w:rPr>
          <w:rFonts w:hint="eastAsia"/>
          <w:b/>
          <w:sz w:val="24"/>
        </w:rPr>
        <w:t>二、</w:t>
      </w:r>
      <w:bookmarkEnd w:id="19"/>
      <w:r>
        <w:rPr>
          <w:rFonts w:hint="eastAsia"/>
          <w:b/>
          <w:sz w:val="24"/>
        </w:rPr>
        <w:t>交货期</w:t>
      </w:r>
    </w:p>
    <w:p>
      <w:pPr>
        <w:adjustRightInd w:val="0"/>
        <w:snapToGrid w:val="0"/>
        <w:spacing w:line="360" w:lineRule="auto"/>
        <w:ind w:firstLine="540"/>
        <w:rPr>
          <w:rFonts w:ascii="宋体" w:hAnsi="宋体"/>
          <w:sz w:val="24"/>
        </w:rPr>
      </w:pPr>
      <w:r>
        <w:rPr>
          <w:rFonts w:hint="eastAsia" w:ascii="宋体" w:hAnsi="宋体"/>
          <w:sz w:val="24"/>
        </w:rPr>
        <w:t>合同签订后</w:t>
      </w:r>
      <w:r>
        <w:rPr>
          <w:rFonts w:hint="eastAsia" w:ascii="宋体" w:hAnsi="宋体"/>
          <w:sz w:val="24"/>
          <w:u w:val="single"/>
        </w:rPr>
        <w:t xml:space="preserve">          </w:t>
      </w:r>
      <w:r>
        <w:rPr>
          <w:rFonts w:hint="eastAsia" w:ascii="宋体" w:hAnsi="宋体"/>
          <w:sz w:val="24"/>
        </w:rPr>
        <w:t>天内完成</w:t>
      </w:r>
      <w:r>
        <w:rPr>
          <w:rFonts w:ascii="宋体" w:hAnsi="宋体"/>
          <w:sz w:val="24"/>
        </w:rPr>
        <w:t>交货并完成安装调试</w:t>
      </w:r>
      <w:r>
        <w:rPr>
          <w:rFonts w:hint="eastAsia" w:ascii="宋体" w:hAnsi="宋体"/>
          <w:sz w:val="24"/>
        </w:rPr>
        <w:t>。</w:t>
      </w:r>
    </w:p>
    <w:p>
      <w:pPr>
        <w:adjustRightInd w:val="0"/>
        <w:snapToGrid w:val="0"/>
        <w:spacing w:line="360" w:lineRule="auto"/>
        <w:ind w:firstLine="540"/>
        <w:rPr>
          <w:rFonts w:ascii="宋体" w:hAnsi="宋体"/>
          <w:sz w:val="24"/>
        </w:rPr>
      </w:pPr>
    </w:p>
    <w:p>
      <w:pPr>
        <w:spacing w:line="440" w:lineRule="exact"/>
        <w:rPr>
          <w:b/>
          <w:sz w:val="24"/>
        </w:rPr>
      </w:pPr>
      <w:bookmarkStart w:id="20" w:name="_Toc86481561"/>
      <w:r>
        <w:rPr>
          <w:rFonts w:hint="eastAsia"/>
          <w:b/>
          <w:sz w:val="24"/>
        </w:rPr>
        <w:t>三、</w:t>
      </w:r>
      <w:bookmarkEnd w:id="20"/>
      <w:r>
        <w:rPr>
          <w:rFonts w:hint="eastAsia"/>
          <w:b/>
          <w:sz w:val="24"/>
        </w:rPr>
        <w:t>原厂质保期</w:t>
      </w:r>
    </w:p>
    <w:p>
      <w:pPr>
        <w:pStyle w:val="16"/>
        <w:tabs>
          <w:tab w:val="left" w:pos="645"/>
          <w:tab w:val="clear" w:pos="916"/>
        </w:tabs>
        <w:adjustRightInd w:val="0"/>
        <w:snapToGrid w:val="0"/>
        <w:spacing w:line="360" w:lineRule="auto"/>
        <w:ind w:firstLine="450" w:firstLineChars="200"/>
        <w:rPr>
          <w:rFonts w:ascii="宋体" w:hAnsi="宋体" w:eastAsia="宋体"/>
          <w:kern w:val="2"/>
          <w:sz w:val="24"/>
          <w:szCs w:val="24"/>
          <w:u w:val="single"/>
        </w:rPr>
      </w:pPr>
      <w:r>
        <w:rPr>
          <w:rFonts w:hint="eastAsia" w:ascii="宋体" w:hAnsi="宋体" w:eastAsia="宋体"/>
          <w:kern w:val="2"/>
          <w:sz w:val="24"/>
          <w:szCs w:val="24"/>
        </w:rPr>
        <w:t>质保期：</w:t>
      </w:r>
      <w:r>
        <w:rPr>
          <w:rFonts w:hint="eastAsia" w:ascii="宋体" w:hAnsi="宋体" w:eastAsia="宋体"/>
          <w:kern w:val="2"/>
          <w:sz w:val="24"/>
          <w:szCs w:val="24"/>
          <w:u w:val="single"/>
        </w:rPr>
        <w:t xml:space="preserve">             </w:t>
      </w:r>
    </w:p>
    <w:p>
      <w:pPr>
        <w:pStyle w:val="16"/>
        <w:tabs>
          <w:tab w:val="left" w:pos="645"/>
          <w:tab w:val="clear" w:pos="916"/>
        </w:tabs>
        <w:adjustRightInd w:val="0"/>
        <w:snapToGrid w:val="0"/>
        <w:spacing w:line="360" w:lineRule="auto"/>
        <w:ind w:firstLine="450" w:firstLineChars="200"/>
        <w:rPr>
          <w:rFonts w:ascii="宋体" w:hAnsi="宋体" w:eastAsia="宋体"/>
          <w:kern w:val="2"/>
          <w:sz w:val="24"/>
          <w:szCs w:val="24"/>
          <w:u w:val="single"/>
        </w:rPr>
      </w:pPr>
    </w:p>
    <w:p>
      <w:pPr>
        <w:spacing w:line="440" w:lineRule="exact"/>
        <w:rPr>
          <w:b/>
          <w:sz w:val="24"/>
        </w:rPr>
      </w:pPr>
      <w:bookmarkStart w:id="21" w:name="_Toc86481563"/>
      <w:r>
        <w:rPr>
          <w:rFonts w:hint="eastAsia"/>
          <w:b/>
          <w:sz w:val="24"/>
        </w:rPr>
        <w:t>四、</w:t>
      </w:r>
      <w:bookmarkEnd w:id="21"/>
      <w:r>
        <w:rPr>
          <w:rFonts w:hint="eastAsia"/>
          <w:b/>
          <w:sz w:val="24"/>
        </w:rPr>
        <w:t>验收</w:t>
      </w:r>
    </w:p>
    <w:p>
      <w:pPr>
        <w:pStyle w:val="16"/>
        <w:tabs>
          <w:tab w:val="left" w:pos="645"/>
          <w:tab w:val="clear" w:pos="916"/>
        </w:tabs>
        <w:adjustRightInd w:val="0"/>
        <w:snapToGrid w:val="0"/>
        <w:spacing w:line="360" w:lineRule="auto"/>
        <w:ind w:firstLine="450" w:firstLineChars="200"/>
        <w:rPr>
          <w:rFonts w:ascii="宋体" w:hAnsi="宋体" w:eastAsia="宋体"/>
          <w:kern w:val="2"/>
          <w:sz w:val="24"/>
          <w:szCs w:val="24"/>
        </w:rPr>
      </w:pPr>
      <w:r>
        <w:rPr>
          <w:rFonts w:hint="eastAsia" w:ascii="宋体" w:hAnsi="宋体" w:eastAsia="宋体"/>
          <w:kern w:val="2"/>
          <w:sz w:val="24"/>
          <w:szCs w:val="24"/>
        </w:rPr>
        <w:t>安装调试完成</w:t>
      </w:r>
      <w:r>
        <w:rPr>
          <w:rFonts w:hint="eastAsia" w:ascii="宋体" w:hAnsi="宋体" w:eastAsia="宋体"/>
          <w:kern w:val="2"/>
          <w:sz w:val="24"/>
          <w:szCs w:val="24"/>
          <w:u w:val="single"/>
        </w:rPr>
        <w:t>10</w:t>
      </w:r>
      <w:r>
        <w:rPr>
          <w:rFonts w:hint="eastAsia" w:ascii="宋体" w:hAnsi="宋体" w:eastAsia="宋体"/>
          <w:kern w:val="2"/>
          <w:sz w:val="24"/>
          <w:szCs w:val="24"/>
        </w:rPr>
        <w:t>日后甲方组织相关人员进行验收，验收报告由甲方签字，乙方需出具相关硬件技术资料、文档给甲方。</w:t>
      </w:r>
    </w:p>
    <w:p>
      <w:pPr>
        <w:spacing w:line="440" w:lineRule="exact"/>
        <w:rPr>
          <w:b/>
          <w:sz w:val="24"/>
        </w:rPr>
      </w:pPr>
      <w:bookmarkStart w:id="22" w:name="_Toc39653189"/>
      <w:bookmarkStart w:id="23" w:name="_Toc39653413"/>
      <w:r>
        <w:rPr>
          <w:rFonts w:hint="eastAsia"/>
          <w:b/>
          <w:sz w:val="24"/>
        </w:rPr>
        <w:t>五、付款方式</w:t>
      </w:r>
      <w:bookmarkEnd w:id="22"/>
      <w:bookmarkEnd w:id="23"/>
    </w:p>
    <w:p>
      <w:pPr>
        <w:adjustRightInd w:val="0"/>
        <w:snapToGrid w:val="0"/>
        <w:spacing w:line="360" w:lineRule="auto"/>
        <w:ind w:firstLine="450" w:firstLineChars="200"/>
        <w:rPr>
          <w:rFonts w:ascii="宋体" w:hAnsi="宋体"/>
          <w:sz w:val="24"/>
        </w:rPr>
      </w:pPr>
      <w:r>
        <w:rPr>
          <w:rFonts w:hint="eastAsia" w:ascii="宋体" w:hAnsi="宋体"/>
          <w:sz w:val="24"/>
        </w:rPr>
        <w:t>甲方验收合格后，依据验收表和发票，甲方在两个月内向乙方支付合同总额的95%，即</w:t>
      </w:r>
      <w:r>
        <w:rPr>
          <w:rFonts w:hint="eastAsia" w:ascii="宋体" w:hAnsi="宋体"/>
          <w:sz w:val="24"/>
          <w:u w:val="single"/>
        </w:rPr>
        <w:t xml:space="preserve">          万元</w:t>
      </w:r>
      <w:r>
        <w:rPr>
          <w:rFonts w:hint="eastAsia" w:ascii="宋体" w:hAnsi="宋体"/>
          <w:sz w:val="24"/>
        </w:rPr>
        <w:t>，大写</w:t>
      </w:r>
      <w:r>
        <w:rPr>
          <w:rFonts w:hint="eastAsia" w:ascii="宋体" w:hAnsi="宋体"/>
          <w:sz w:val="24"/>
          <w:u w:val="single"/>
        </w:rPr>
        <w:t>人民币                 元整</w:t>
      </w:r>
      <w:r>
        <w:rPr>
          <w:rFonts w:hint="eastAsia" w:ascii="宋体" w:hAnsi="宋体"/>
          <w:sz w:val="24"/>
        </w:rPr>
        <w:t>，余5%即</w:t>
      </w:r>
      <w:r>
        <w:rPr>
          <w:rFonts w:hint="eastAsia" w:ascii="宋体" w:hAnsi="宋体"/>
          <w:sz w:val="24"/>
          <w:u w:val="single"/>
        </w:rPr>
        <w:t xml:space="preserve">           万元</w:t>
      </w:r>
      <w:r>
        <w:rPr>
          <w:rFonts w:hint="eastAsia" w:ascii="宋体" w:hAnsi="宋体"/>
          <w:sz w:val="24"/>
        </w:rPr>
        <w:t>，大写</w:t>
      </w:r>
      <w:r>
        <w:rPr>
          <w:rFonts w:hint="eastAsia" w:ascii="宋体" w:hAnsi="宋体"/>
          <w:sz w:val="24"/>
          <w:u w:val="single"/>
        </w:rPr>
        <w:t>人民币               元整</w:t>
      </w:r>
      <w:r>
        <w:rPr>
          <w:rFonts w:hint="eastAsia" w:ascii="宋体" w:hAnsi="宋体"/>
          <w:sz w:val="24"/>
        </w:rPr>
        <w:t>，作为质保金质保期满后支付。</w:t>
      </w:r>
    </w:p>
    <w:p>
      <w:pPr>
        <w:adjustRightInd w:val="0"/>
        <w:snapToGrid w:val="0"/>
        <w:spacing w:line="360" w:lineRule="auto"/>
        <w:rPr>
          <w:rFonts w:ascii="宋体" w:hAnsi="宋体"/>
          <w:sz w:val="24"/>
        </w:rPr>
      </w:pPr>
    </w:p>
    <w:p>
      <w:pPr>
        <w:spacing w:line="440" w:lineRule="exact"/>
        <w:rPr>
          <w:b/>
          <w:sz w:val="24"/>
        </w:rPr>
      </w:pPr>
      <w:bookmarkStart w:id="24" w:name="_Toc39653190"/>
      <w:bookmarkStart w:id="25" w:name="_Toc39653414"/>
      <w:r>
        <w:rPr>
          <w:rFonts w:hint="eastAsia"/>
          <w:b/>
          <w:sz w:val="24"/>
        </w:rPr>
        <w:t>六、售后服务</w:t>
      </w:r>
      <w:bookmarkEnd w:id="24"/>
      <w:bookmarkEnd w:id="25"/>
    </w:p>
    <w:p>
      <w:pPr>
        <w:adjustRightInd w:val="0"/>
        <w:snapToGrid w:val="0"/>
        <w:spacing w:line="360" w:lineRule="auto"/>
        <w:ind w:firstLine="450" w:firstLineChars="200"/>
        <w:rPr>
          <w:rFonts w:ascii="宋体" w:hAnsi="宋体"/>
          <w:sz w:val="24"/>
        </w:rPr>
      </w:pPr>
      <w:r>
        <w:rPr>
          <w:rFonts w:hint="eastAsia" w:ascii="宋体" w:hAnsi="宋体"/>
          <w:sz w:val="24"/>
        </w:rPr>
        <w:t>免费保修按原厂商保修条款执行，保修日期从 验收之日 起计算，质保期限为          年。保修期内出现质量问题，由乙方负责免费维修。</w:t>
      </w:r>
    </w:p>
    <w:p>
      <w:pPr>
        <w:adjustRightInd w:val="0"/>
        <w:snapToGrid w:val="0"/>
        <w:spacing w:line="360" w:lineRule="auto"/>
        <w:ind w:firstLine="450" w:firstLineChars="200"/>
        <w:rPr>
          <w:rFonts w:ascii="宋体" w:hAnsi="宋体"/>
          <w:sz w:val="24"/>
        </w:rPr>
      </w:pPr>
      <w:r>
        <w:rPr>
          <w:rFonts w:hint="eastAsia" w:ascii="宋体" w:hAnsi="宋体"/>
          <w:sz w:val="24"/>
        </w:rPr>
        <w:t>质保期内出现质量问题，乙方在接到通知后</w:t>
      </w:r>
      <w:r>
        <w:rPr>
          <w:rFonts w:hint="eastAsia" w:ascii="宋体" w:hAnsi="宋体"/>
          <w:sz w:val="24"/>
          <w:u w:val="single"/>
        </w:rPr>
        <w:t xml:space="preserve">        </w:t>
      </w:r>
      <w:r>
        <w:rPr>
          <w:rFonts w:hint="eastAsia" w:ascii="宋体" w:hAnsi="宋体"/>
          <w:sz w:val="24"/>
        </w:rPr>
        <w:t>内响应，</w:t>
      </w:r>
      <w:r>
        <w:rPr>
          <w:rFonts w:hint="eastAsia" w:ascii="宋体" w:hAnsi="宋体"/>
          <w:sz w:val="24"/>
          <w:u w:val="single"/>
        </w:rPr>
        <w:t xml:space="preserve">      </w:t>
      </w:r>
      <w:r>
        <w:rPr>
          <w:rFonts w:hint="eastAsia" w:ascii="宋体" w:hAnsi="宋体"/>
          <w:sz w:val="24"/>
        </w:rPr>
        <w:t>小时内到场，乙方负责维修或更换，并承担修理调换的费用(含保修期内所更换零部件费用)，人为损坏不在保修范围内。</w:t>
      </w:r>
    </w:p>
    <w:p>
      <w:pPr>
        <w:adjustRightInd w:val="0"/>
        <w:snapToGrid w:val="0"/>
        <w:spacing w:line="360" w:lineRule="auto"/>
        <w:rPr>
          <w:rFonts w:ascii="宋体" w:hAnsi="宋体"/>
          <w:color w:val="000000"/>
          <w:sz w:val="24"/>
        </w:rPr>
      </w:pPr>
    </w:p>
    <w:p>
      <w:pPr>
        <w:spacing w:line="440" w:lineRule="exact"/>
        <w:rPr>
          <w:b/>
          <w:sz w:val="24"/>
        </w:rPr>
      </w:pPr>
      <w:bookmarkStart w:id="26" w:name="_Toc39653191"/>
      <w:bookmarkStart w:id="27" w:name="_Toc39653415"/>
      <w:r>
        <w:rPr>
          <w:rFonts w:hint="eastAsia"/>
          <w:b/>
          <w:sz w:val="24"/>
        </w:rPr>
        <w:t>七、双方的权利和义务</w:t>
      </w:r>
      <w:bookmarkEnd w:id="26"/>
      <w:bookmarkEnd w:id="27"/>
    </w:p>
    <w:p>
      <w:pPr>
        <w:adjustRightInd w:val="0"/>
        <w:snapToGrid w:val="0"/>
        <w:spacing w:line="360" w:lineRule="auto"/>
        <w:ind w:firstLine="450" w:firstLineChars="200"/>
        <w:rPr>
          <w:rFonts w:ascii="宋体" w:hAnsi="宋体"/>
          <w:sz w:val="24"/>
        </w:rPr>
      </w:pPr>
      <w:r>
        <w:rPr>
          <w:rFonts w:hint="eastAsia" w:ascii="宋体" w:hAnsi="宋体"/>
          <w:sz w:val="24"/>
        </w:rPr>
        <w:t>1.双方一致同意：在甲方未支付货款的95%之前，本合同项下产品的所有权归乙方所有；</w:t>
      </w:r>
    </w:p>
    <w:p>
      <w:pPr>
        <w:adjustRightInd w:val="0"/>
        <w:snapToGrid w:val="0"/>
        <w:spacing w:line="360" w:lineRule="auto"/>
        <w:ind w:firstLine="450" w:firstLineChars="200"/>
        <w:rPr>
          <w:rFonts w:ascii="宋体" w:hAnsi="宋体"/>
          <w:sz w:val="24"/>
        </w:rPr>
      </w:pPr>
      <w:r>
        <w:rPr>
          <w:rFonts w:hint="eastAsia" w:ascii="宋体" w:hAnsi="宋体"/>
          <w:sz w:val="24"/>
        </w:rPr>
        <w:t>2.产品的运输及保险全部由乙方负责。乙方须采取适于安全、准时完成本合同项下义务的运输措施，将产品运至甲方指定的到货地点；</w:t>
      </w:r>
    </w:p>
    <w:p>
      <w:pPr>
        <w:adjustRightInd w:val="0"/>
        <w:snapToGrid w:val="0"/>
        <w:spacing w:line="360" w:lineRule="auto"/>
        <w:ind w:firstLine="450" w:firstLineChars="200"/>
        <w:rPr>
          <w:rFonts w:ascii="宋体" w:hAnsi="宋体"/>
          <w:sz w:val="24"/>
        </w:rPr>
      </w:pPr>
      <w:r>
        <w:rPr>
          <w:rFonts w:hint="eastAsia" w:ascii="宋体" w:hAnsi="宋体"/>
          <w:sz w:val="24"/>
        </w:rPr>
        <w:t>3.双方一致同意：本合同项下产品毁损、灭失的风险，在乙方交付产品后，由甲方承担。</w:t>
      </w:r>
    </w:p>
    <w:p>
      <w:pPr>
        <w:pStyle w:val="16"/>
        <w:adjustRightInd w:val="0"/>
        <w:snapToGrid w:val="0"/>
        <w:spacing w:line="360" w:lineRule="auto"/>
        <w:ind w:firstLine="450" w:firstLineChars="200"/>
        <w:rPr>
          <w:rFonts w:ascii="宋体" w:hAnsi="宋体" w:eastAsia="宋体"/>
          <w:b/>
          <w:color w:val="000000"/>
          <w:sz w:val="24"/>
          <w:szCs w:val="24"/>
        </w:rPr>
      </w:pPr>
    </w:p>
    <w:p>
      <w:pPr>
        <w:spacing w:line="440" w:lineRule="exact"/>
        <w:rPr>
          <w:b/>
          <w:sz w:val="24"/>
        </w:rPr>
      </w:pPr>
      <w:bookmarkStart w:id="28" w:name="_Toc39653416"/>
      <w:bookmarkStart w:id="29" w:name="_Toc39653192"/>
      <w:r>
        <w:rPr>
          <w:rFonts w:hint="eastAsia"/>
          <w:b/>
          <w:sz w:val="24"/>
        </w:rPr>
        <w:t>八、违约责任</w:t>
      </w:r>
      <w:bookmarkEnd w:id="28"/>
      <w:bookmarkEnd w:id="29"/>
    </w:p>
    <w:p>
      <w:pPr>
        <w:adjustRightInd w:val="0"/>
        <w:snapToGrid w:val="0"/>
        <w:spacing w:line="360" w:lineRule="auto"/>
        <w:ind w:firstLine="450" w:firstLineChars="200"/>
        <w:rPr>
          <w:rFonts w:ascii="宋体" w:hAnsi="宋体"/>
          <w:sz w:val="24"/>
        </w:rPr>
      </w:pPr>
      <w:r>
        <w:rPr>
          <w:rFonts w:hint="eastAsia" w:ascii="宋体" w:hAnsi="宋体"/>
          <w:sz w:val="24"/>
        </w:rPr>
        <w:t>本合同生效后，除不可抗外力影响，双方均不得任意理由终止合同。如单方违约，违约方应承担违约金为本合同的20%。</w:t>
      </w:r>
    </w:p>
    <w:p>
      <w:pPr>
        <w:pStyle w:val="16"/>
        <w:adjustRightInd w:val="0"/>
        <w:snapToGrid w:val="0"/>
        <w:spacing w:line="360" w:lineRule="auto"/>
        <w:rPr>
          <w:rFonts w:ascii="宋体" w:hAnsi="宋体" w:eastAsia="宋体"/>
          <w:color w:val="000000"/>
          <w:sz w:val="24"/>
          <w:szCs w:val="24"/>
        </w:rPr>
      </w:pPr>
      <w:r>
        <w:rPr>
          <w:rFonts w:ascii="宋体" w:hAnsi="宋体" w:eastAsia="宋体"/>
          <w:color w:val="000000"/>
          <w:sz w:val="24"/>
          <w:szCs w:val="24"/>
        </w:rPr>
        <w:t xml:space="preserve"> </w:t>
      </w:r>
    </w:p>
    <w:p>
      <w:pPr>
        <w:spacing w:line="440" w:lineRule="exact"/>
        <w:rPr>
          <w:b/>
          <w:sz w:val="24"/>
        </w:rPr>
      </w:pPr>
      <w:bookmarkStart w:id="30" w:name="_Toc39653417"/>
      <w:bookmarkStart w:id="31" w:name="_Toc39653193"/>
      <w:r>
        <w:rPr>
          <w:rFonts w:hint="eastAsia"/>
          <w:b/>
          <w:sz w:val="24"/>
        </w:rPr>
        <w:t>九、合同争议解决方式</w:t>
      </w:r>
      <w:bookmarkEnd w:id="30"/>
      <w:bookmarkEnd w:id="31"/>
    </w:p>
    <w:p>
      <w:pPr>
        <w:adjustRightInd w:val="0"/>
        <w:snapToGrid w:val="0"/>
        <w:spacing w:line="360" w:lineRule="auto"/>
        <w:ind w:firstLine="450" w:firstLineChars="200"/>
        <w:rPr>
          <w:rFonts w:ascii="宋体" w:hAnsi="宋体"/>
          <w:sz w:val="24"/>
        </w:rPr>
      </w:pPr>
      <w:r>
        <w:rPr>
          <w:rFonts w:hint="eastAsia" w:ascii="宋体" w:hAnsi="宋体"/>
          <w:sz w:val="24"/>
        </w:rPr>
        <w:t>在合同履行期间，如发生争议，双方协商解决，协商不成的，可向甲方项目所在地人民法院提起诉讼。</w:t>
      </w:r>
    </w:p>
    <w:p>
      <w:pPr>
        <w:pStyle w:val="16"/>
        <w:tabs>
          <w:tab w:val="clear" w:pos="916"/>
        </w:tabs>
        <w:adjustRightInd w:val="0"/>
        <w:snapToGrid w:val="0"/>
        <w:spacing w:line="360" w:lineRule="auto"/>
        <w:ind w:firstLine="570"/>
        <w:rPr>
          <w:rFonts w:ascii="宋体" w:hAnsi="宋体" w:eastAsia="宋体"/>
          <w:color w:val="000000"/>
          <w:sz w:val="24"/>
          <w:szCs w:val="24"/>
        </w:rPr>
      </w:pPr>
    </w:p>
    <w:p>
      <w:pPr>
        <w:spacing w:line="440" w:lineRule="exact"/>
        <w:rPr>
          <w:b/>
          <w:sz w:val="24"/>
        </w:rPr>
      </w:pPr>
      <w:bookmarkStart w:id="32" w:name="_Toc39653418"/>
      <w:bookmarkStart w:id="33" w:name="_Toc39653194"/>
      <w:r>
        <w:rPr>
          <w:rFonts w:hint="eastAsia"/>
          <w:b/>
          <w:sz w:val="24"/>
        </w:rPr>
        <w:t>十、合同组成与生效</w:t>
      </w:r>
      <w:bookmarkEnd w:id="32"/>
      <w:bookmarkEnd w:id="33"/>
    </w:p>
    <w:p>
      <w:pPr>
        <w:adjustRightInd w:val="0"/>
        <w:snapToGrid w:val="0"/>
        <w:spacing w:line="360" w:lineRule="auto"/>
        <w:ind w:firstLine="450" w:firstLineChars="200"/>
        <w:rPr>
          <w:rFonts w:ascii="宋体" w:hAnsi="宋体"/>
          <w:sz w:val="24"/>
        </w:rPr>
      </w:pPr>
      <w:r>
        <w:rPr>
          <w:rFonts w:hint="eastAsia" w:ascii="宋体" w:hAnsi="宋体"/>
          <w:sz w:val="24"/>
        </w:rPr>
        <w:t>从合同生效日开始起算，本合同壹式肆份，甲方执叁份，乙方执壹份，签字并加盖公章后生效，希共同遵照执行。谈判、报价文件及其补遗文件和承诺是本合同不可分割的部分，具有同等法律效力。</w:t>
      </w:r>
    </w:p>
    <w:p>
      <w:pPr>
        <w:adjustRightInd w:val="0"/>
        <w:snapToGrid w:val="0"/>
        <w:spacing w:line="360" w:lineRule="auto"/>
        <w:ind w:firstLine="450" w:firstLineChars="200"/>
        <w:rPr>
          <w:rFonts w:ascii="宋体" w:hAnsi="宋体"/>
          <w:sz w:val="24"/>
        </w:rPr>
      </w:pPr>
    </w:p>
    <w:p>
      <w:pPr>
        <w:adjustRightInd w:val="0"/>
        <w:snapToGrid w:val="0"/>
        <w:spacing w:line="360" w:lineRule="auto"/>
        <w:ind w:firstLine="450" w:firstLineChars="200"/>
        <w:rPr>
          <w:rFonts w:ascii="宋体" w:hAnsi="宋体"/>
          <w:sz w:val="24"/>
        </w:rPr>
      </w:pPr>
    </w:p>
    <w:p>
      <w:pPr>
        <w:adjustRightInd w:val="0"/>
        <w:snapToGrid w:val="0"/>
        <w:spacing w:line="360" w:lineRule="auto"/>
        <w:ind w:firstLine="450" w:firstLineChars="200"/>
        <w:rPr>
          <w:rFonts w:ascii="宋体" w:hAnsi="宋体"/>
          <w:sz w:val="24"/>
        </w:rPr>
      </w:pPr>
    </w:p>
    <w:p>
      <w:pPr>
        <w:adjustRightInd w:val="0"/>
        <w:snapToGrid w:val="0"/>
        <w:spacing w:line="360" w:lineRule="auto"/>
        <w:ind w:firstLine="450" w:firstLineChars="200"/>
        <w:rPr>
          <w:rFonts w:ascii="宋体" w:hAnsi="宋体"/>
          <w:sz w:val="24"/>
        </w:rPr>
      </w:pPr>
    </w:p>
    <w:p>
      <w:pPr>
        <w:adjustRightInd w:val="0"/>
        <w:snapToGrid w:val="0"/>
        <w:spacing w:line="360" w:lineRule="auto"/>
        <w:ind w:firstLine="450" w:firstLineChars="200"/>
        <w:rPr>
          <w:rFonts w:ascii="宋体" w:hAnsi="宋体"/>
          <w:sz w:val="24"/>
        </w:rPr>
      </w:pPr>
    </w:p>
    <w:p>
      <w:pPr>
        <w:adjustRightInd w:val="0"/>
        <w:snapToGrid w:val="0"/>
        <w:spacing w:line="360" w:lineRule="auto"/>
        <w:ind w:firstLine="450" w:firstLineChars="200"/>
        <w:rPr>
          <w:rFonts w:ascii="宋体" w:hAnsi="宋体"/>
          <w:sz w:val="24"/>
        </w:rPr>
      </w:pPr>
    </w:p>
    <w:p>
      <w:pPr>
        <w:adjustRightInd w:val="0"/>
        <w:snapToGrid w:val="0"/>
        <w:spacing w:line="360" w:lineRule="auto"/>
        <w:ind w:firstLine="450" w:firstLineChars="200"/>
        <w:rPr>
          <w:rFonts w:ascii="宋体" w:hAnsi="宋体"/>
          <w:sz w:val="24"/>
        </w:rPr>
      </w:pPr>
    </w:p>
    <w:p>
      <w:pPr>
        <w:adjustRightInd w:val="0"/>
        <w:snapToGrid w:val="0"/>
        <w:spacing w:line="360" w:lineRule="auto"/>
        <w:ind w:firstLine="450" w:firstLineChars="200"/>
        <w:rPr>
          <w:rFonts w:ascii="宋体" w:hAnsi="宋体"/>
          <w:sz w:val="24"/>
        </w:rPr>
      </w:pPr>
    </w:p>
    <w:p>
      <w:pPr>
        <w:adjustRightInd w:val="0"/>
        <w:snapToGrid w:val="0"/>
        <w:spacing w:line="360" w:lineRule="auto"/>
        <w:ind w:firstLine="450" w:firstLineChars="200"/>
        <w:rPr>
          <w:rFonts w:ascii="宋体" w:hAnsi="宋体"/>
          <w:sz w:val="24"/>
        </w:rPr>
      </w:pPr>
    </w:p>
    <w:p>
      <w:pPr>
        <w:adjustRightInd w:val="0"/>
        <w:snapToGrid w:val="0"/>
        <w:spacing w:line="360" w:lineRule="auto"/>
        <w:ind w:firstLine="450" w:firstLineChars="200"/>
        <w:rPr>
          <w:rFonts w:ascii="宋体" w:hAnsi="宋体"/>
          <w:sz w:val="24"/>
        </w:rPr>
      </w:pPr>
    </w:p>
    <w:p>
      <w:pPr>
        <w:adjustRightInd w:val="0"/>
        <w:snapToGrid w:val="0"/>
        <w:spacing w:line="360" w:lineRule="auto"/>
        <w:ind w:firstLine="450" w:firstLineChars="200"/>
        <w:rPr>
          <w:rFonts w:ascii="宋体" w:hAnsi="宋体"/>
          <w:sz w:val="24"/>
        </w:rPr>
      </w:pPr>
    </w:p>
    <w:tbl>
      <w:tblPr>
        <w:tblStyle w:val="18"/>
        <w:tblW w:w="8460" w:type="dxa"/>
        <w:tblInd w:w="710" w:type="dxa"/>
        <w:tblLayout w:type="fixed"/>
        <w:tblCellMar>
          <w:top w:w="0" w:type="dxa"/>
          <w:left w:w="108" w:type="dxa"/>
          <w:bottom w:w="0" w:type="dxa"/>
          <w:right w:w="108" w:type="dxa"/>
        </w:tblCellMar>
      </w:tblPr>
      <w:tblGrid>
        <w:gridCol w:w="4256"/>
        <w:gridCol w:w="4204"/>
      </w:tblGrid>
      <w:tr>
        <w:tblPrEx>
          <w:tblCellMar>
            <w:top w:w="0" w:type="dxa"/>
            <w:left w:w="108" w:type="dxa"/>
            <w:bottom w:w="0" w:type="dxa"/>
            <w:right w:w="108" w:type="dxa"/>
          </w:tblCellMar>
        </w:tblPrEx>
        <w:trPr>
          <w:trHeight w:val="677" w:hRule="atLeast"/>
        </w:trPr>
        <w:tc>
          <w:tcPr>
            <w:tcW w:w="4256" w:type="dxa"/>
          </w:tcPr>
          <w:p>
            <w:pPr>
              <w:spacing w:line="360" w:lineRule="auto"/>
              <w:rPr>
                <w:rFonts w:ascii="黑体" w:hAnsi="宋体" w:eastAsia="黑体"/>
                <w:b/>
                <w:szCs w:val="21"/>
              </w:rPr>
            </w:pPr>
            <w:r>
              <w:rPr>
                <w:rFonts w:hint="eastAsia" w:ascii="黑体" w:hAnsi="宋体" w:eastAsia="黑体"/>
                <w:b/>
                <w:szCs w:val="21"/>
              </w:rPr>
              <w:t>甲方：陆军军医大学第一附属医院</w:t>
            </w:r>
          </w:p>
          <w:p>
            <w:pPr>
              <w:spacing w:line="360" w:lineRule="auto"/>
              <w:ind w:firstLine="390" w:firstLineChars="200"/>
              <w:rPr>
                <w:rFonts w:ascii="黑体" w:hAnsi="宋体" w:eastAsia="黑体"/>
                <w:b/>
                <w:szCs w:val="21"/>
              </w:rPr>
            </w:pPr>
            <w:r>
              <w:rPr>
                <w:rFonts w:hint="eastAsia" w:ascii="黑体" w:hAnsi="宋体" w:eastAsia="黑体"/>
                <w:b/>
                <w:szCs w:val="21"/>
              </w:rPr>
              <w:t>（盖章）</w:t>
            </w:r>
          </w:p>
        </w:tc>
        <w:tc>
          <w:tcPr>
            <w:tcW w:w="4204" w:type="dxa"/>
          </w:tcPr>
          <w:p>
            <w:pPr>
              <w:spacing w:line="360" w:lineRule="atLeast"/>
              <w:rPr>
                <w:rFonts w:ascii="黑体" w:hAnsi="宋体" w:eastAsia="黑体"/>
                <w:b/>
                <w:szCs w:val="21"/>
              </w:rPr>
            </w:pPr>
            <w:r>
              <w:rPr>
                <w:rFonts w:hint="eastAsia" w:ascii="黑体" w:hAnsi="宋体" w:eastAsia="黑体"/>
                <w:b/>
                <w:szCs w:val="21"/>
              </w:rPr>
              <w:t>乙方：</w:t>
            </w:r>
            <w:r>
              <w:rPr>
                <w:rFonts w:ascii="黑体" w:hAnsi="宋体" w:eastAsia="黑体"/>
                <w:b/>
                <w:szCs w:val="21"/>
              </w:rPr>
              <w:t xml:space="preserve"> </w:t>
            </w:r>
          </w:p>
          <w:p>
            <w:pPr>
              <w:spacing w:line="360" w:lineRule="auto"/>
              <w:ind w:firstLine="390" w:firstLineChars="200"/>
              <w:rPr>
                <w:rFonts w:ascii="黑体" w:hAnsi="宋体" w:eastAsia="黑体"/>
                <w:b/>
                <w:szCs w:val="21"/>
              </w:rPr>
            </w:pPr>
            <w:r>
              <w:rPr>
                <w:rFonts w:hint="eastAsia" w:ascii="黑体" w:hAnsi="宋体" w:eastAsia="黑体"/>
                <w:b/>
                <w:szCs w:val="21"/>
              </w:rPr>
              <w:t>（盖章）</w:t>
            </w:r>
          </w:p>
        </w:tc>
      </w:tr>
      <w:tr>
        <w:tblPrEx>
          <w:tblCellMar>
            <w:top w:w="0" w:type="dxa"/>
            <w:left w:w="108" w:type="dxa"/>
            <w:bottom w:w="0" w:type="dxa"/>
            <w:right w:w="108" w:type="dxa"/>
          </w:tblCellMar>
        </w:tblPrEx>
        <w:trPr>
          <w:trHeight w:val="1354" w:hRule="atLeast"/>
        </w:trPr>
        <w:tc>
          <w:tcPr>
            <w:tcW w:w="4256" w:type="dxa"/>
          </w:tcPr>
          <w:p>
            <w:pPr>
              <w:spacing w:line="360" w:lineRule="auto"/>
              <w:rPr>
                <w:rFonts w:ascii="黑体" w:hAnsi="宋体" w:eastAsia="黑体"/>
                <w:b/>
                <w:szCs w:val="21"/>
              </w:rPr>
            </w:pPr>
            <w:r>
              <w:rPr>
                <w:rFonts w:hint="eastAsia" w:ascii="黑体" w:hAnsi="宋体" w:eastAsia="黑体"/>
                <w:b/>
                <w:szCs w:val="21"/>
              </w:rPr>
              <w:t>地址:重庆市沙坪坝区高滩岩正街30号</w:t>
            </w:r>
          </w:p>
          <w:p>
            <w:pPr>
              <w:spacing w:line="360" w:lineRule="auto"/>
              <w:rPr>
                <w:rFonts w:ascii="黑体" w:hAnsi="宋体" w:eastAsia="黑体"/>
                <w:b/>
                <w:szCs w:val="21"/>
              </w:rPr>
            </w:pPr>
            <w:r>
              <w:rPr>
                <w:rFonts w:hint="eastAsia" w:ascii="黑体" w:hAnsi="宋体" w:eastAsia="黑体"/>
                <w:b/>
                <w:szCs w:val="21"/>
              </w:rPr>
              <w:t>开户银行：中国银行长江路支行</w:t>
            </w:r>
          </w:p>
          <w:p>
            <w:pPr>
              <w:spacing w:line="360" w:lineRule="auto"/>
              <w:rPr>
                <w:rFonts w:ascii="黑体" w:hAnsi="宋体" w:eastAsia="黑体"/>
                <w:b/>
                <w:szCs w:val="21"/>
              </w:rPr>
            </w:pPr>
            <w:r>
              <w:rPr>
                <w:rFonts w:hint="eastAsia" w:ascii="黑体" w:hAnsi="宋体" w:eastAsia="黑体"/>
                <w:b/>
                <w:szCs w:val="21"/>
              </w:rPr>
              <w:t>账号：113007546980</w:t>
            </w:r>
          </w:p>
          <w:p>
            <w:pPr>
              <w:spacing w:line="360" w:lineRule="auto"/>
              <w:rPr>
                <w:rFonts w:ascii="黑体" w:hAnsi="宋体" w:eastAsia="黑体"/>
                <w:b/>
                <w:szCs w:val="21"/>
              </w:rPr>
            </w:pPr>
            <w:r>
              <w:rPr>
                <w:rFonts w:hint="eastAsia" w:ascii="黑体" w:hAnsi="宋体" w:eastAsia="黑体"/>
                <w:b/>
                <w:szCs w:val="21"/>
              </w:rPr>
              <w:t>法定代表人：</w:t>
            </w:r>
          </w:p>
          <w:p>
            <w:pPr>
              <w:spacing w:line="360" w:lineRule="auto"/>
              <w:rPr>
                <w:rFonts w:ascii="黑体" w:hAnsi="宋体" w:eastAsia="黑体"/>
                <w:b/>
                <w:szCs w:val="21"/>
              </w:rPr>
            </w:pPr>
            <w:r>
              <w:rPr>
                <w:rFonts w:hint="eastAsia" w:ascii="黑体" w:hAnsi="宋体" w:eastAsia="黑体"/>
                <w:b/>
                <w:szCs w:val="21"/>
              </w:rPr>
              <w:t xml:space="preserve">法人委托代理人：  </w:t>
            </w:r>
          </w:p>
        </w:tc>
        <w:tc>
          <w:tcPr>
            <w:tcW w:w="4204" w:type="dxa"/>
          </w:tcPr>
          <w:p>
            <w:pPr>
              <w:spacing w:line="360" w:lineRule="auto"/>
              <w:rPr>
                <w:rFonts w:ascii="黑体" w:hAnsi="宋体" w:eastAsia="黑体"/>
                <w:b/>
                <w:szCs w:val="21"/>
              </w:rPr>
            </w:pPr>
            <w:r>
              <w:rPr>
                <w:rFonts w:hint="eastAsia" w:ascii="黑体" w:hAnsi="宋体" w:eastAsia="黑体"/>
                <w:b/>
                <w:szCs w:val="21"/>
              </w:rPr>
              <w:t>地址：</w:t>
            </w:r>
          </w:p>
          <w:p>
            <w:pPr>
              <w:spacing w:line="360" w:lineRule="auto"/>
              <w:rPr>
                <w:rFonts w:ascii="黑体" w:hAnsi="宋体" w:eastAsia="黑体"/>
                <w:b/>
                <w:szCs w:val="21"/>
              </w:rPr>
            </w:pPr>
            <w:r>
              <w:rPr>
                <w:rFonts w:hint="eastAsia" w:ascii="黑体" w:hAnsi="宋体" w:eastAsia="黑体"/>
                <w:b/>
                <w:szCs w:val="21"/>
              </w:rPr>
              <w:t>开户银行：</w:t>
            </w:r>
            <w:r>
              <w:rPr>
                <w:rFonts w:ascii="黑体" w:hAnsi="宋体" w:eastAsia="黑体"/>
                <w:b/>
                <w:szCs w:val="21"/>
              </w:rPr>
              <w:t xml:space="preserve"> </w:t>
            </w:r>
          </w:p>
          <w:p>
            <w:pPr>
              <w:spacing w:line="360" w:lineRule="auto"/>
              <w:rPr>
                <w:rFonts w:ascii="黑体" w:hAnsi="宋体" w:eastAsia="黑体"/>
                <w:b/>
                <w:szCs w:val="21"/>
              </w:rPr>
            </w:pPr>
            <w:r>
              <w:rPr>
                <w:rFonts w:hint="eastAsia" w:ascii="黑体" w:hAnsi="宋体" w:eastAsia="黑体"/>
                <w:b/>
                <w:szCs w:val="21"/>
              </w:rPr>
              <w:t>账号：</w:t>
            </w:r>
          </w:p>
          <w:p>
            <w:pPr>
              <w:spacing w:line="360" w:lineRule="auto"/>
              <w:rPr>
                <w:rFonts w:ascii="黑体" w:hAnsi="宋体" w:eastAsia="黑体"/>
                <w:b/>
                <w:szCs w:val="21"/>
              </w:rPr>
            </w:pPr>
            <w:r>
              <w:rPr>
                <w:rFonts w:hint="eastAsia" w:ascii="黑体" w:hAnsi="宋体" w:eastAsia="黑体"/>
                <w:b/>
                <w:szCs w:val="21"/>
              </w:rPr>
              <w:t>法定代表人：</w:t>
            </w:r>
          </w:p>
          <w:p>
            <w:pPr>
              <w:spacing w:line="360" w:lineRule="auto"/>
              <w:rPr>
                <w:rFonts w:ascii="黑体" w:hAnsi="宋体" w:eastAsia="黑体"/>
                <w:b/>
                <w:szCs w:val="21"/>
              </w:rPr>
            </w:pPr>
            <w:r>
              <w:rPr>
                <w:rFonts w:hint="eastAsia" w:ascii="黑体" w:hAnsi="宋体" w:eastAsia="黑体"/>
                <w:b/>
                <w:szCs w:val="21"/>
              </w:rPr>
              <w:t>委托代理人：</w:t>
            </w:r>
          </w:p>
        </w:tc>
      </w:tr>
      <w:tr>
        <w:tblPrEx>
          <w:tblCellMar>
            <w:top w:w="0" w:type="dxa"/>
            <w:left w:w="108" w:type="dxa"/>
            <w:bottom w:w="0" w:type="dxa"/>
            <w:right w:w="108" w:type="dxa"/>
          </w:tblCellMar>
        </w:tblPrEx>
        <w:trPr>
          <w:trHeight w:val="677" w:hRule="atLeast"/>
        </w:trPr>
        <w:tc>
          <w:tcPr>
            <w:tcW w:w="4256" w:type="dxa"/>
          </w:tcPr>
          <w:p>
            <w:pPr>
              <w:spacing w:line="360" w:lineRule="auto"/>
              <w:rPr>
                <w:rFonts w:ascii="黑体" w:hAnsi="宋体" w:eastAsia="黑体"/>
                <w:b/>
                <w:szCs w:val="21"/>
              </w:rPr>
            </w:pPr>
          </w:p>
        </w:tc>
        <w:tc>
          <w:tcPr>
            <w:tcW w:w="4204" w:type="dxa"/>
          </w:tcPr>
          <w:p>
            <w:pPr>
              <w:spacing w:line="360" w:lineRule="auto"/>
              <w:ind w:left="975" w:leftChars="150" w:hanging="683" w:hangingChars="350"/>
              <w:rPr>
                <w:rFonts w:ascii="黑体" w:hAnsi="宋体" w:eastAsia="黑体"/>
                <w:b/>
                <w:szCs w:val="21"/>
              </w:rPr>
            </w:pPr>
          </w:p>
        </w:tc>
      </w:tr>
      <w:tr>
        <w:tblPrEx>
          <w:tblCellMar>
            <w:top w:w="0" w:type="dxa"/>
            <w:left w:w="108" w:type="dxa"/>
            <w:bottom w:w="0" w:type="dxa"/>
            <w:right w:w="108" w:type="dxa"/>
          </w:tblCellMar>
        </w:tblPrEx>
        <w:trPr>
          <w:trHeight w:val="338" w:hRule="atLeast"/>
        </w:trPr>
        <w:tc>
          <w:tcPr>
            <w:tcW w:w="4256" w:type="dxa"/>
          </w:tcPr>
          <w:p>
            <w:pPr>
              <w:spacing w:line="360" w:lineRule="auto"/>
              <w:rPr>
                <w:rFonts w:ascii="黑体" w:hAnsi="宋体" w:eastAsia="黑体"/>
                <w:b/>
                <w:szCs w:val="21"/>
              </w:rPr>
            </w:pPr>
            <w:r>
              <w:rPr>
                <w:rFonts w:hint="eastAsia" w:ascii="黑体" w:hAnsi="宋体" w:eastAsia="黑体"/>
                <w:b/>
                <w:szCs w:val="21"/>
              </w:rPr>
              <w:t>电话：023-68766150</w:t>
            </w:r>
          </w:p>
        </w:tc>
        <w:tc>
          <w:tcPr>
            <w:tcW w:w="4204" w:type="dxa"/>
          </w:tcPr>
          <w:p>
            <w:pPr>
              <w:spacing w:line="360" w:lineRule="auto"/>
              <w:rPr>
                <w:rFonts w:ascii="黑体" w:hAnsi="宋体" w:eastAsia="黑体"/>
                <w:b/>
                <w:szCs w:val="21"/>
              </w:rPr>
            </w:pPr>
            <w:r>
              <w:rPr>
                <w:rFonts w:hint="eastAsia" w:ascii="黑体" w:hAnsi="宋体" w:eastAsia="黑体"/>
                <w:b/>
                <w:szCs w:val="21"/>
              </w:rPr>
              <w:t>电话：</w:t>
            </w:r>
          </w:p>
        </w:tc>
      </w:tr>
    </w:tbl>
    <w:p>
      <w:pPr>
        <w:spacing w:line="360" w:lineRule="exact"/>
        <w:rPr>
          <w:rFonts w:ascii="宋体" w:hAnsi="宋体"/>
          <w:u w:val="single"/>
        </w:rPr>
      </w:pPr>
    </w:p>
    <w:p>
      <w:pPr>
        <w:spacing w:line="360" w:lineRule="exact"/>
        <w:rPr>
          <w:rFonts w:ascii="宋体" w:hAnsi="宋体"/>
          <w:u w:val="single"/>
        </w:rPr>
      </w:pPr>
    </w:p>
    <w:p>
      <w:pPr>
        <w:spacing w:line="360" w:lineRule="exact"/>
        <w:ind w:firstLine="585" w:firstLineChars="300"/>
        <w:rPr>
          <w:rFonts w:ascii="宋体" w:hAnsi="宋体"/>
          <w:b/>
        </w:rPr>
      </w:pP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 xml:space="preserve">日                         </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adjustRightInd w:val="0"/>
        <w:snapToGrid w:val="0"/>
        <w:spacing w:line="440" w:lineRule="exact"/>
        <w:ind w:firstLine="450" w:firstLineChars="200"/>
        <w:rPr>
          <w:rFonts w:cs="Times New Roman" w:asciiTheme="minorEastAsia" w:hAnsiTheme="minorEastAsia"/>
          <w:kern w:val="0"/>
          <w:sz w:val="24"/>
          <w:szCs w:val="24"/>
        </w:rPr>
      </w:pPr>
    </w:p>
    <w:p>
      <w:pPr>
        <w:adjustRightInd w:val="0"/>
        <w:snapToGrid w:val="0"/>
        <w:jc w:val="center"/>
        <w:rPr>
          <w:rFonts w:ascii="黑体" w:hAnsi="Times New Roman" w:eastAsia="黑体" w:cs="Times New Roman"/>
          <w:sz w:val="28"/>
          <w:szCs w:val="28"/>
        </w:rPr>
      </w:pPr>
    </w:p>
    <w:p>
      <w:pPr>
        <w:widowControl/>
        <w:jc w:val="left"/>
        <w:rPr>
          <w:rFonts w:ascii="黑体" w:hAnsi="Times New Roman" w:eastAsia="黑体" w:cs="Times New Roman"/>
          <w:sz w:val="28"/>
          <w:szCs w:val="28"/>
        </w:rPr>
      </w:pPr>
      <w:r>
        <w:rPr>
          <w:rFonts w:ascii="黑体" w:hAnsi="Times New Roman" w:eastAsia="黑体" w:cs="Times New Roman"/>
          <w:sz w:val="28"/>
          <w:szCs w:val="28"/>
        </w:rPr>
        <w:br w:type="page"/>
      </w: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功能清单</w:t>
      </w:r>
    </w:p>
    <w:p>
      <w:pPr>
        <w:rPr>
          <w:rFonts w:ascii="Times New Roman" w:hAnsi="Times New Roman" w:eastAsia="宋体" w:cs="Times New Roman"/>
          <w:kern w:val="0"/>
          <w:sz w:val="28"/>
          <w:szCs w:val="28"/>
        </w:rPr>
      </w:pPr>
      <w:r>
        <w:rPr>
          <w:rFonts w:hint="eastAsia" w:ascii="Times New Roman" w:hAnsi="Times New Roman" w:eastAsia="宋体" w:cs="Times New Roman"/>
          <w:kern w:val="0"/>
          <w:sz w:val="28"/>
          <w:szCs w:val="28"/>
        </w:rPr>
        <w:t>内容自拟，以实际产品功能为主，格式不限</w:t>
      </w:r>
    </w:p>
    <w:p>
      <w:pPr>
        <w:rPr>
          <w:rFonts w:ascii="黑体" w:hAnsi="Times New Roman" w:eastAsia="黑体" w:cs="Times New Roman"/>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1906" w:h="16838"/>
          <w:pgMar w:top="1134" w:right="567" w:bottom="1134" w:left="1021"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34" w:name="_Toc240432233"/>
      <w:bookmarkStart w:id="35" w:name="_Toc43485655"/>
      <w:bookmarkStart w:id="36" w:name="_Toc37172691"/>
      <w:bookmarkStart w:id="37" w:name="_Toc435540982"/>
      <w:bookmarkStart w:id="38" w:name="_Toc390713970"/>
      <w:bookmarkStart w:id="39" w:name="_Toc285612604"/>
      <w:r>
        <w:rPr>
          <w:rFonts w:hint="eastAsia" w:ascii="黑体" w:hAnsi="黑体" w:eastAsia="黑体" w:cs="Times New Roman"/>
          <w:kern w:val="0"/>
          <w:sz w:val="32"/>
          <w:szCs w:val="32"/>
        </w:rPr>
        <w:t>第五部分  附件/报价文件格式</w:t>
      </w:r>
      <w:bookmarkEnd w:id="34"/>
      <w:bookmarkEnd w:id="35"/>
      <w:bookmarkEnd w:id="36"/>
      <w:bookmarkEnd w:id="37"/>
      <w:bookmarkEnd w:id="38"/>
      <w:bookmarkEnd w:id="39"/>
    </w:p>
    <w:p>
      <w:pPr>
        <w:spacing w:line="580" w:lineRule="exact"/>
        <w:rPr>
          <w:rFonts w:ascii="Times New Roman" w:hAnsi="Times New Roman" w:eastAsia="宋体" w:cs="Times New Roman"/>
          <w:kern w:val="0"/>
          <w:sz w:val="28"/>
          <w:szCs w:val="28"/>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附件1：报价函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附件2：报价一览表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附件4：货物简要说明一览表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附件9：报价方售后服务承诺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附件10：生产厂家售后服务承诺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附件11：近3年成交案例及同类项目案例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附件12：技术评审表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附件13：商务评审表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附件18：廉洁诚信承诺书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附件19：相关声明书（包含但不限于以下内容：①非外资企业或外资控股企业的书面声明；②参加本次采购活动前3年内在经营活动中没有重大违法记录的书面声明）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附件20：生产企业对代理公司参与报价的授权书</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spacing w:line="560" w:lineRule="exact"/>
        <w:jc w:val="center"/>
        <w:rPr>
          <w:rFonts w:ascii="方正小标宋简体" w:hAnsi="Times New Roman" w:eastAsia="方正小标宋简体" w:cs="Times New Roman"/>
          <w:kern w:val="0"/>
          <w:sz w:val="30"/>
          <w:szCs w:val="30"/>
        </w:rPr>
      </w:pPr>
      <w:r>
        <w:rPr>
          <w:rFonts w:hint="eastAsia" w:ascii="方正小标宋简体" w:hAnsi="Times New Roman" w:eastAsia="方正小标宋简体" w:cs="Times New Roman"/>
          <w:kern w:val="0"/>
          <w:sz w:val="30"/>
          <w:szCs w:val="30"/>
        </w:rPr>
        <w:t>报  价  函</w:t>
      </w:r>
    </w:p>
    <w:p>
      <w:pPr>
        <w:spacing w:line="400" w:lineRule="exact"/>
        <w:rPr>
          <w:rFonts w:ascii="仿宋_GB2312" w:hAnsi="Times New Roman" w:eastAsia="仿宋_GB2312" w:cs="Times New Roman"/>
          <w:kern w:val="0"/>
          <w:sz w:val="32"/>
          <w:szCs w:val="32"/>
        </w:rPr>
      </w:pPr>
    </w:p>
    <w:p>
      <w:pPr>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竞争性谈判采购活动，并对</w:t>
      </w:r>
      <w:r>
        <w:rPr>
          <w:rFonts w:hint="eastAsia" w:cs="Times New Roman" w:asciiTheme="minorEastAsia" w:hAnsiTheme="minorEastAsia"/>
          <w:kern w:val="0"/>
          <w:sz w:val="28"/>
          <w:szCs w:val="28"/>
          <w:u w:val="single"/>
        </w:rPr>
        <w:t>（包号或货物名称）</w:t>
      </w:r>
      <w:r>
        <w:rPr>
          <w:rFonts w:hint="eastAsia" w:cs="Times New Roman" w:asciiTheme="minorEastAsia" w:hAnsiTheme="minorEastAsia"/>
          <w:kern w:val="0"/>
          <w:sz w:val="28"/>
          <w:szCs w:val="28"/>
        </w:rPr>
        <w:t>进行报价。</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一、按照谈判文件规定提交</w:t>
      </w:r>
      <w:r>
        <w:rPr>
          <w:rFonts w:hint="eastAsia" w:cs="Times New Roman" w:asciiTheme="minorEastAsia" w:hAnsiTheme="minorEastAsia"/>
          <w:kern w:val="0"/>
          <w:sz w:val="28"/>
          <w:szCs w:val="28"/>
          <w:lang w:val="zh-CN"/>
        </w:rPr>
        <w:t>报价文件正本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份和副本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w:t>
      </w:r>
      <w:r>
        <w:rPr>
          <w:rFonts w:hint="eastAsia" w:cs="Times New Roman" w:asciiTheme="minorEastAsia" w:hAnsiTheme="minorEastAsia"/>
          <w:kern w:val="0"/>
          <w:sz w:val="28"/>
          <w:szCs w:val="28"/>
          <w:lang w:val="zh-CN"/>
        </w:rPr>
        <w:t>我方已完全理解谈判文件的全部内容，自愿接受并执行谈判文件的全部条款</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三、本报价文件</w:t>
      </w:r>
      <w:r>
        <w:rPr>
          <w:rFonts w:hint="eastAsia" w:cs="Times New Roman" w:asciiTheme="minorEastAsia" w:hAnsiTheme="minorEastAsia"/>
          <w:kern w:val="0"/>
          <w:sz w:val="28"/>
          <w:szCs w:val="28"/>
          <w:lang w:val="zh-CN"/>
        </w:rPr>
        <w:t>有效期自报价截止之日起180日内有效</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Times New Roman" w:asciiTheme="minorEastAsia" w:hAnsiTheme="minorEastAsia"/>
          <w:kern w:val="0"/>
          <w:sz w:val="28"/>
          <w:szCs w:val="28"/>
        </w:rPr>
        <w:t>四、</w:t>
      </w:r>
      <w:r>
        <w:rPr>
          <w:rFonts w:hint="eastAsia" w:cs="宋体" w:asciiTheme="minorEastAsia" w:hAnsiTheme="minorEastAsia"/>
          <w:snapToGrid w:val="0"/>
          <w:kern w:val="0"/>
          <w:sz w:val="28"/>
          <w:szCs w:val="28"/>
          <w:lang w:val="zh-CN"/>
        </w:rPr>
        <w:t>我方在参与谈判前已仔细研究了谈判文件和所有相关资料，同意谈判文件的相关条款。</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宋体" w:asciiTheme="minorEastAsia" w:hAnsiTheme="minor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宋体" w:asciiTheme="minorEastAsia" w:hAnsiTheme="minorEastAsia"/>
          <w:snapToGrid w:val="0"/>
          <w:kern w:val="0"/>
          <w:sz w:val="28"/>
          <w:szCs w:val="28"/>
          <w:lang w:val="zh-CN"/>
        </w:rPr>
        <w:t>六、</w:t>
      </w:r>
      <w:r>
        <w:rPr>
          <w:rFonts w:hint="eastAsia" w:cs="Times New Roman" w:asciiTheme="minorEastAsia" w:hAnsiTheme="minorEastAsia"/>
          <w:kern w:val="0"/>
          <w:sz w:val="28"/>
          <w:szCs w:val="28"/>
        </w:rPr>
        <w:t>我方承诺自愿遵守、执行国家、军队相关采购管理法规制度及政策规定。</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spacing w:line="440" w:lineRule="exact"/>
        <w:ind w:firstLine="1328" w:firstLineChars="490"/>
        <w:rPr>
          <w:rFonts w:cs="Times New Roman" w:asciiTheme="minorEastAsia" w:hAnsiTheme="minorEastAsia"/>
          <w:kern w:val="0"/>
          <w:sz w:val="28"/>
          <w:szCs w:val="28"/>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报价一览表</w:t>
      </w:r>
    </w:p>
    <w:p>
      <w:pPr>
        <w:rPr>
          <w:rFonts w:ascii="Times New Roman" w:hAnsi="Times New Roman" w:eastAsia="宋体" w:cs="Times New Roman"/>
          <w:kern w:val="0"/>
          <w:sz w:val="28"/>
          <w:szCs w:val="28"/>
        </w:rPr>
      </w:pP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项目名称：</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项目编号：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包号：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金额单位：元</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ind w:firstLine="120" w:firstLineChars="50"/>
              <w:rPr>
                <w:rFonts w:ascii="宋体" w:hAnsi="宋体" w:eastAsia="宋体" w:cs="Times New Roman"/>
                <w:b/>
                <w:kern w:val="0"/>
                <w:sz w:val="24"/>
                <w:szCs w:val="24"/>
              </w:rPr>
            </w:pPr>
            <w:r>
              <w:rPr>
                <w:rFonts w:hint="eastAsia" w:ascii="宋体" w:hAnsi="宋体" w:eastAsia="宋体" w:cs="Times New Roman"/>
                <w:kern w:val="0"/>
                <w:sz w:val="24"/>
                <w:szCs w:val="24"/>
              </w:rPr>
              <w:t>货物总金额（大写人民币）</w:t>
            </w:r>
            <w:r>
              <w:rPr>
                <w:rFonts w:hint="eastAsia" w:ascii="宋体" w:hAnsi="宋体" w:eastAsia="宋体" w:cs="Times New Roman"/>
                <w:bCs/>
                <w:spacing w:val="-4"/>
                <w:kern w:val="0"/>
                <w:sz w:val="24"/>
                <w:szCs w:val="24"/>
              </w:rPr>
              <w:t>：</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说明：总价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黑体" w:hAnsi="黑体" w:eastAsia="黑体" w:cs="Times New Roman"/>
          <w:kern w:val="0"/>
          <w:sz w:val="28"/>
          <w:szCs w:val="28"/>
        </w:rPr>
      </w:pP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jc w:val="left"/>
        <w:rPr>
          <w:rFonts w:ascii="Times New Roman" w:hAnsi="Times New Roman" w:eastAsia="宋体" w:cs="Times New Roman"/>
          <w:kern w:val="0"/>
          <w:sz w:val="28"/>
          <w:szCs w:val="28"/>
        </w:rPr>
      </w:pP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包号：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ascii="宋体" w:hAnsi="宋体" w:eastAsia="宋体" w:cs="Times New Roman"/>
          <w:kern w:val="0"/>
          <w:sz w:val="24"/>
          <w:szCs w:val="24"/>
        </w:rPr>
        <w:t>1.</w:t>
      </w:r>
      <w:r>
        <w:rPr>
          <w:rFonts w:hint="eastAsia" w:ascii="宋体" w:hAnsi="宋体" w:eastAsia="宋体" w:cs="Times New Roman"/>
          <w:kern w:val="0"/>
          <w:sz w:val="24"/>
          <w:szCs w:val="24"/>
        </w:rPr>
        <w:t xml:space="preserve"> 根据货物简要说明一览表中分项填写。</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          </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bookmarkStart w:id="40" w:name="_Toc285612606"/>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bookmarkEnd w:id="40"/>
    <w:p>
      <w:pPr>
        <w:tabs>
          <w:tab w:val="left" w:pos="0"/>
        </w:tabs>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32"/>
          <w:szCs w:val="32"/>
        </w:rPr>
        <w:t>货物简要说明一览表</w:t>
      </w:r>
    </w:p>
    <w:p>
      <w:pPr>
        <w:autoSpaceDE w:val="0"/>
        <w:autoSpaceDN w:val="0"/>
        <w:adjustRightInd w:val="0"/>
        <w:rPr>
          <w:rFonts w:ascii="华文中宋" w:hAnsi="华文中宋" w:eastAsia="华文中宋" w:cs="宋体"/>
          <w:kern w:val="0"/>
          <w:sz w:val="24"/>
          <w:szCs w:val="24"/>
          <w:lang w:val="zh-CN"/>
        </w:rPr>
      </w:pPr>
      <w:r>
        <w:rPr>
          <w:rFonts w:hint="eastAsia" w:ascii="宋体" w:hAnsi="宋体" w:eastAsia="宋体" w:cs="宋体"/>
          <w:kern w:val="0"/>
          <w:sz w:val="24"/>
          <w:szCs w:val="24"/>
        </w:rPr>
        <w:t xml:space="preserve">项目名称：                       项目编号：                     包号：   </w:t>
      </w:r>
    </w:p>
    <w:tbl>
      <w:tblPr>
        <w:tblStyle w:val="18"/>
        <w:tblW w:w="5000" w:type="pct"/>
        <w:jc w:val="center"/>
        <w:tblLayout w:type="autofit"/>
        <w:tblCellMar>
          <w:top w:w="0" w:type="dxa"/>
          <w:left w:w="0" w:type="dxa"/>
          <w:bottom w:w="0" w:type="dxa"/>
          <w:right w:w="0" w:type="dxa"/>
        </w:tblCellMar>
      </w:tblPr>
      <w:tblGrid>
        <w:gridCol w:w="648"/>
        <w:gridCol w:w="2666"/>
        <w:gridCol w:w="677"/>
        <w:gridCol w:w="1007"/>
        <w:gridCol w:w="2563"/>
        <w:gridCol w:w="1324"/>
      </w:tblGrid>
      <w:tr>
        <w:tblPrEx>
          <w:tblCellMar>
            <w:top w:w="0" w:type="dxa"/>
            <w:left w:w="0" w:type="dxa"/>
            <w:bottom w:w="0" w:type="dxa"/>
            <w:right w:w="0" w:type="dxa"/>
          </w:tblCellMar>
        </w:tblPrEx>
        <w:trPr>
          <w:trHeight w:val="851" w:hRule="exact"/>
          <w:jc w:val="center"/>
        </w:trPr>
        <w:tc>
          <w:tcPr>
            <w:tcW w:w="648" w:type="dxa"/>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2666"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主要部件名称</w:t>
            </w:r>
          </w:p>
        </w:tc>
        <w:tc>
          <w:tcPr>
            <w:tcW w:w="677"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计量</w:t>
            </w:r>
          </w:p>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单位</w:t>
            </w:r>
          </w:p>
        </w:tc>
        <w:tc>
          <w:tcPr>
            <w:tcW w:w="1007"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数量</w:t>
            </w:r>
          </w:p>
        </w:tc>
        <w:tc>
          <w:tcPr>
            <w:tcW w:w="2563"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性能用途说明</w:t>
            </w:r>
          </w:p>
        </w:tc>
        <w:tc>
          <w:tcPr>
            <w:tcW w:w="1323" w:type="dxa"/>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备注</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bl>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spacing w:line="420" w:lineRule="exact"/>
        <w:ind w:right="539"/>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8"/>
        <w:tblW w:w="5222" w:type="pct"/>
        <w:jc w:val="center"/>
        <w:tblLayout w:type="autofit"/>
        <w:tblCellMar>
          <w:top w:w="0" w:type="dxa"/>
          <w:left w:w="108" w:type="dxa"/>
          <w:bottom w:w="0" w:type="dxa"/>
          <w:right w:w="108" w:type="dxa"/>
        </w:tblCellMar>
      </w:tblPr>
      <w:tblGrid>
        <w:gridCol w:w="813"/>
        <w:gridCol w:w="2939"/>
        <w:gridCol w:w="2470"/>
        <w:gridCol w:w="3242"/>
      </w:tblGrid>
      <w:tr>
        <w:tblPrEx>
          <w:tblCellMar>
            <w:top w:w="0" w:type="dxa"/>
            <w:left w:w="108" w:type="dxa"/>
            <w:bottom w:w="0" w:type="dxa"/>
            <w:right w:w="108" w:type="dxa"/>
          </w:tblCellMar>
        </w:tblPrEx>
        <w:trPr>
          <w:trHeight w:val="630"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324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执行标准（国标/行业标准等）</w:t>
            </w:r>
          </w:p>
        </w:tc>
      </w:tr>
      <w:tr>
        <w:tblPrEx>
          <w:tblCellMar>
            <w:top w:w="0" w:type="dxa"/>
            <w:left w:w="108" w:type="dxa"/>
            <w:bottom w:w="0" w:type="dxa"/>
            <w:right w:w="108" w:type="dxa"/>
          </w:tblCellMar>
        </w:tblPrEx>
        <w:trPr>
          <w:trHeight w:val="567" w:hRule="exact"/>
          <w:jc w:val="center"/>
        </w:trPr>
        <w:tc>
          <w:tcPr>
            <w:tcW w:w="813"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3242"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3"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3242"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3"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3242"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3"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3242"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3"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3242"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3"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3242"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3"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3242"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3"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3242"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3"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3242"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3"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3242"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3"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3242"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3"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3242"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报价方应对照谈判文件技术要求，逐条如实填写所报产品的具体指标参数，注明无偏离、正偏离或负偏离，并在备注中注明偏离的具体内容。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技术指标参数响应栏如果原文复制谈判文件技术要求，可能会被视为无效报价。</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r>
        <w:rPr>
          <w:rFonts w:hint="eastAsia" w:ascii="宋体" w:hAnsi="宋体" w:eastAsia="宋体" w:cs="Times New Roman"/>
          <w:kern w:val="0"/>
          <w:sz w:val="24"/>
          <w:szCs w:val="24"/>
        </w:rPr>
        <w:t xml:space="preserve">  </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商务条款主要包括报价要求、售后服务、专利权和保密要求、交货时间、地点与方式、付款及结算方式等。如有遗漏，请报价方按照谈判文件正文自行补充完整。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报价文件商务条款响应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请报价方认真填写本表内容，如填写错误将可能导致报价无效。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8"/>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报价方售后服务承诺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报价方对照商务评审表中售后服务评审项自行编制，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w:t>
      </w:r>
      <w:r>
        <w:rPr>
          <w:rFonts w:hint="eastAsia" w:ascii="宋体" w:hAnsi="宋体" w:eastAsia="宋体" w:cs="Times New Roman"/>
          <w:sz w:val="28"/>
          <w:szCs w:val="28"/>
          <w:lang w:val="zh-CN"/>
        </w:rPr>
        <w:t>谈判</w:t>
      </w:r>
      <w:r>
        <w:rPr>
          <w:rFonts w:ascii="宋体" w:hAnsi="宋体" w:eastAsia="宋体" w:cs="Times New Roman"/>
          <w:sz w:val="28"/>
          <w:szCs w:val="28"/>
          <w:lang w:val="zh-CN"/>
        </w:rPr>
        <w:t>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生产厂家售后服务承诺</w:t>
      </w:r>
    </w:p>
    <w:p>
      <w:pPr>
        <w:ind w:firstLine="542" w:firstLineChars="200"/>
        <w:rPr>
          <w:rFonts w:ascii="Times New Roman" w:hAnsi="Times New Roman" w:eastAsia="宋体" w:cs="Times New Roman"/>
          <w:snapToGrid w:val="0"/>
          <w:kern w:val="0"/>
          <w:sz w:val="28"/>
          <w:szCs w:val="28"/>
          <w:lang w:val="zh-CN"/>
        </w:rPr>
      </w:pPr>
    </w:p>
    <w:p>
      <w:pPr>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Times New Roman"/>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kern w:val="0"/>
          <w:sz w:val="28"/>
          <w:szCs w:val="28"/>
        </w:rPr>
        <w:t>零配件全国统一报价</w:t>
      </w:r>
      <w:r>
        <w:rPr>
          <w:rFonts w:hint="eastAsia" w:ascii="宋体" w:hAnsi="宋体" w:eastAsia="宋体" w:cs="Times New Roman"/>
          <w:kern w:val="0"/>
          <w:sz w:val="28"/>
          <w:szCs w:val="28"/>
          <w:lang w:val="zh-CN"/>
        </w:rPr>
        <w:t>等内容</w:t>
      </w:r>
      <w:r>
        <w:rPr>
          <w:rFonts w:hint="eastAsia" w:cs="Times New Roman" w:asciiTheme="minorEastAsia" w:hAnsiTheme="minorEastAsia"/>
          <w:kern w:val="0"/>
          <w:sz w:val="28"/>
          <w:szCs w:val="28"/>
          <w:lang w:val="zh-CN"/>
        </w:rPr>
        <w:t>）</w:t>
      </w: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32"/>
          <w:szCs w:val="32"/>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8"/>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977"/>
        <w:gridCol w:w="1820"/>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备注：1.同类项目指本次谈判的产品或同类产品。合同有效金额是指合同中本次谈判的产品或同类产品金额。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2.报价方应附销售合同复印件，按合同有效金额由高到低顺序装订，包括：合同首尾页、签字盖章页、合同金额页、产品信息页。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3.报价方提供虚假合同的，按虚假响应处理。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附件12</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技术评审表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8"/>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nil"/>
              <w:left w:val="nil"/>
              <w:bottom w:val="single" w:color="auto" w:sz="4" w:space="0"/>
              <w:right w:val="single" w:color="auto" w:sz="4" w:space="0"/>
            </w:tcBorders>
            <w:noWrap/>
          </w:tcPr>
          <w:p>
            <w:pPr>
              <w:adjustRightInd w:val="0"/>
              <w:snapToGrid w:val="0"/>
              <w:spacing w:line="440" w:lineRule="exact"/>
              <w:rPr>
                <w:rFonts w:asciiTheme="majorEastAsia" w:hAnsiTheme="majorEastAsia" w:eastAsiaTheme="majorEastAsia"/>
                <w:szCs w:val="21"/>
              </w:rPr>
            </w:pPr>
            <w:r>
              <w:rPr>
                <w:rFonts w:hint="eastAsia" w:asciiTheme="majorEastAsia" w:hAnsiTheme="majorEastAsia" w:eastAsiaTheme="majorEastAsia"/>
                <w:szCs w:val="21"/>
              </w:rPr>
              <w:t>软件著作权证书或发明专利</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nil"/>
              <w:left w:val="nil"/>
              <w:bottom w:val="single" w:color="auto" w:sz="4" w:space="0"/>
              <w:right w:val="single" w:color="auto" w:sz="4" w:space="0"/>
            </w:tcBorders>
            <w:noWrap/>
          </w:tcPr>
          <w:p>
            <w:pPr>
              <w:adjustRightInd w:val="0"/>
              <w:snapToGrid w:val="0"/>
              <w:spacing w:line="440" w:lineRule="exact"/>
              <w:rPr>
                <w:rFonts w:asciiTheme="majorEastAsia" w:hAnsiTheme="majorEastAsia" w:eastAsiaTheme="majorEastAsia"/>
                <w:szCs w:val="21"/>
              </w:rPr>
            </w:pPr>
            <w:r>
              <w:rPr>
                <w:rFonts w:hint="eastAsia" w:asciiTheme="majorEastAsia" w:hAnsiTheme="majorEastAsia" w:eastAsiaTheme="majorEastAsia"/>
                <w:szCs w:val="21"/>
              </w:rPr>
              <w:t>IS09001质量管理体系认证证书</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nil"/>
              <w:left w:val="nil"/>
              <w:bottom w:val="single" w:color="auto" w:sz="4" w:space="0"/>
              <w:right w:val="single" w:color="auto" w:sz="4" w:space="0"/>
            </w:tcBorders>
            <w:noWrap/>
          </w:tcPr>
          <w:p>
            <w:pPr>
              <w:adjustRightInd w:val="0"/>
              <w:snapToGrid w:val="0"/>
              <w:spacing w:line="440" w:lineRule="exact"/>
              <w:rPr>
                <w:rFonts w:asciiTheme="majorEastAsia" w:hAnsiTheme="majorEastAsia" w:eastAsiaTheme="majorEastAsia"/>
                <w:szCs w:val="21"/>
              </w:rPr>
            </w:pPr>
            <w:r>
              <w:rPr>
                <w:rFonts w:hint="eastAsia" w:asciiTheme="majorEastAsia" w:hAnsiTheme="majorEastAsia" w:eastAsiaTheme="majorEastAsia"/>
                <w:szCs w:val="21"/>
              </w:rPr>
              <w:t>IS027001信息安全管理体系认证证书</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nil"/>
              <w:left w:val="nil"/>
              <w:bottom w:val="single" w:color="auto" w:sz="4" w:space="0"/>
              <w:right w:val="single" w:color="auto" w:sz="4" w:space="0"/>
            </w:tcBorders>
            <w:noWrap/>
          </w:tcPr>
          <w:p>
            <w:pPr>
              <w:adjustRightInd w:val="0"/>
              <w:snapToGrid w:val="0"/>
              <w:spacing w:line="440" w:lineRule="exact"/>
              <w:rPr>
                <w:rFonts w:asciiTheme="majorEastAsia" w:hAnsiTheme="majorEastAsia" w:eastAsiaTheme="majorEastAsia"/>
                <w:szCs w:val="21"/>
              </w:rPr>
            </w:pPr>
            <w:r>
              <w:rPr>
                <w:rFonts w:hint="eastAsia" w:asciiTheme="majorEastAsia" w:hAnsiTheme="majorEastAsia" w:eastAsiaTheme="majorEastAsia"/>
                <w:szCs w:val="21"/>
              </w:rPr>
              <w:t>高新技术企业证书</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5   </w:t>
            </w:r>
          </w:p>
        </w:tc>
        <w:tc>
          <w:tcPr>
            <w:tcW w:w="3648" w:type="dxa"/>
            <w:tcBorders>
              <w:top w:val="nil"/>
              <w:left w:val="nil"/>
              <w:bottom w:val="single" w:color="auto" w:sz="4" w:space="0"/>
              <w:right w:val="single" w:color="auto" w:sz="4" w:space="0"/>
            </w:tcBorders>
            <w:noWrap/>
          </w:tcPr>
          <w:p>
            <w:pPr>
              <w:adjustRightInd w:val="0"/>
              <w:snapToGrid w:val="0"/>
              <w:spacing w:line="440" w:lineRule="exact"/>
              <w:rPr>
                <w:rFonts w:asciiTheme="majorEastAsia" w:hAnsiTheme="majorEastAsia" w:eastAsiaTheme="majorEastAsia"/>
                <w:szCs w:val="21"/>
              </w:rPr>
            </w:pPr>
            <w:r>
              <w:rPr>
                <w:rFonts w:hint="eastAsia" w:asciiTheme="majorEastAsia" w:hAnsiTheme="majorEastAsia" w:eastAsiaTheme="majorEastAsia"/>
                <w:szCs w:val="21"/>
              </w:rPr>
              <w:t>计算机信息系统集成资质证书</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nil"/>
              <w:bottom w:val="single" w:color="auto" w:sz="4" w:space="0"/>
              <w:right w:val="single" w:color="auto" w:sz="4" w:space="0"/>
            </w:tcBorders>
            <w:noWrap/>
          </w:tcPr>
          <w:p>
            <w:pPr>
              <w:tabs>
                <w:tab w:val="left" w:pos="1608"/>
                <w:tab w:val="left" w:pos="1809"/>
              </w:tabs>
              <w:adjustRightInd w:val="0"/>
              <w:snapToGrid w:val="0"/>
              <w:spacing w:line="440" w:lineRule="exact"/>
              <w:rPr>
                <w:rFonts w:asciiTheme="majorEastAsia" w:hAnsiTheme="majorEastAsia" w:eastAsiaTheme="majorEastAsia"/>
                <w:szCs w:val="21"/>
              </w:rPr>
            </w:pPr>
            <w:r>
              <w:rPr>
                <w:rFonts w:hint="eastAsia" w:asciiTheme="majorEastAsia" w:hAnsiTheme="majorEastAsia" w:eastAsiaTheme="majorEastAsia"/>
                <w:szCs w:val="21"/>
              </w:rPr>
              <w:t>CMMI</w:t>
            </w:r>
            <w:r>
              <w:rPr>
                <w:rFonts w:hint="eastAsia"/>
              </w:rPr>
              <w:t>认证证书</w:t>
            </w:r>
            <w:r>
              <w:tab/>
            </w:r>
            <w:r>
              <w:tab/>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7</w:t>
            </w:r>
          </w:p>
        </w:tc>
        <w:tc>
          <w:tcPr>
            <w:tcW w:w="3648" w:type="dxa"/>
            <w:tcBorders>
              <w:top w:val="single" w:color="auto" w:sz="4" w:space="0"/>
              <w:left w:val="nil"/>
              <w:bottom w:val="single" w:color="auto" w:sz="4" w:space="0"/>
              <w:right w:val="single" w:color="auto" w:sz="4" w:space="0"/>
            </w:tcBorders>
            <w:noWrap/>
          </w:tcPr>
          <w:p>
            <w:pPr>
              <w:tabs>
                <w:tab w:val="left" w:pos="1608"/>
                <w:tab w:val="left" w:pos="1809"/>
              </w:tabs>
              <w:adjustRightInd w:val="0"/>
              <w:snapToGrid w:val="0"/>
              <w:spacing w:line="440" w:lineRule="exact"/>
              <w:rPr>
                <w:rFonts w:asciiTheme="majorEastAsia" w:hAnsiTheme="majorEastAsia" w:eastAsiaTheme="majorEastAsia"/>
                <w:szCs w:val="21"/>
              </w:rPr>
            </w:pPr>
            <w:r>
              <w:rPr>
                <w:rFonts w:hint="eastAsia" w:asciiTheme="majorEastAsia" w:hAnsiTheme="majorEastAsia" w:eastAsiaTheme="majorEastAsia"/>
                <w:szCs w:val="21"/>
              </w:rPr>
              <w:t>业</w:t>
            </w:r>
            <w:r>
              <w:rPr>
                <w:rFonts w:asciiTheme="majorEastAsia" w:hAnsiTheme="majorEastAsia" w:eastAsiaTheme="majorEastAsia"/>
                <w:szCs w:val="21"/>
              </w:rPr>
              <w:t>技术标准、规范、</w:t>
            </w:r>
            <w:r>
              <w:rPr>
                <w:rFonts w:hint="eastAsia" w:asciiTheme="majorEastAsia" w:hAnsiTheme="majorEastAsia" w:eastAsiaTheme="majorEastAsia"/>
                <w:szCs w:val="21"/>
              </w:rPr>
              <w:t>认证</w:t>
            </w:r>
            <w:r>
              <w:rPr>
                <w:rFonts w:asciiTheme="majorEastAsia" w:hAnsiTheme="majorEastAsia" w:eastAsiaTheme="majorEastAsia"/>
                <w:szCs w:val="21"/>
              </w:rPr>
              <w:t>证书</w:t>
            </w:r>
            <w:r>
              <w:rPr>
                <w:rFonts w:hint="eastAsia" w:asciiTheme="majorEastAsia" w:hAnsiTheme="majorEastAsia" w:eastAsiaTheme="majorEastAsia"/>
                <w:szCs w:val="21"/>
              </w:rPr>
              <w:t>、</w:t>
            </w:r>
            <w:r>
              <w:rPr>
                <w:rFonts w:asciiTheme="majorEastAsia" w:hAnsiTheme="majorEastAsia" w:eastAsiaTheme="majorEastAsia"/>
                <w:szCs w:val="21"/>
              </w:rPr>
              <w:t>奖项等品质证明材料</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8</w:t>
            </w:r>
          </w:p>
        </w:tc>
        <w:tc>
          <w:tcPr>
            <w:tcW w:w="3648" w:type="dxa"/>
            <w:tcBorders>
              <w:top w:val="single" w:color="auto" w:sz="4" w:space="0"/>
              <w:left w:val="nil"/>
              <w:bottom w:val="single" w:color="auto" w:sz="4" w:space="0"/>
              <w:right w:val="single" w:color="auto" w:sz="4" w:space="0"/>
            </w:tcBorders>
            <w:noWrap/>
          </w:tcPr>
          <w:p>
            <w:pPr>
              <w:tabs>
                <w:tab w:val="left" w:pos="1608"/>
                <w:tab w:val="left" w:pos="1809"/>
              </w:tabs>
              <w:adjustRightInd w:val="0"/>
              <w:snapToGrid w:val="0"/>
              <w:spacing w:line="440" w:lineRule="exact"/>
              <w:rPr>
                <w:rFonts w:asciiTheme="majorEastAsia" w:hAnsiTheme="majorEastAsia" w:eastAsiaTheme="majorEastAsia"/>
                <w:szCs w:val="21"/>
              </w:rPr>
            </w:pPr>
            <w:r>
              <w:rPr>
                <w:rFonts w:hint="eastAsia" w:ascii="宋体" w:hAnsi="宋体"/>
                <w:szCs w:val="21"/>
              </w:rPr>
              <w:t>系统分析师、系统构架师、软件工程、数据库专业开发人员、程序员以及有经验的项目管理和组织能力项目经理，并提供相应的高级</w:t>
            </w:r>
            <w:r>
              <w:rPr>
                <w:rFonts w:ascii="宋体" w:hAnsi="宋体"/>
                <w:szCs w:val="21"/>
              </w:rPr>
              <w:t>职称</w:t>
            </w:r>
            <w:r>
              <w:rPr>
                <w:rFonts w:hint="eastAsia" w:ascii="宋体" w:hAnsi="宋体"/>
                <w:szCs w:val="21"/>
              </w:rPr>
              <w:t>资质</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asciiTheme="minorEastAsia" w:hAnsiTheme="minorEastAsia"/>
                <w:b/>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single" w:color="auto" w:sz="4" w:space="0"/>
              <w:left w:val="single" w:color="auto" w:sz="4" w:space="0"/>
              <w:bottom w:val="single" w:color="auto" w:sz="4" w:space="0"/>
              <w:right w:val="single" w:color="auto" w:sz="4" w:space="0"/>
            </w:tcBorders>
          </w:tcPr>
          <w:p>
            <w:pPr>
              <w:adjustRightInd w:val="0"/>
              <w:snapToGrid w:val="0"/>
              <w:spacing w:line="440" w:lineRule="exact"/>
              <w:rPr>
                <w:rFonts w:asciiTheme="minorEastAsia" w:hAnsiTheme="minorEastAsia"/>
                <w:szCs w:val="21"/>
              </w:rPr>
            </w:pPr>
            <w:r>
              <w:rPr>
                <w:rFonts w:hint="eastAsia" w:asciiTheme="minorEastAsia" w:hAnsiTheme="minorEastAsia"/>
                <w:szCs w:val="21"/>
              </w:rPr>
              <w:t>免费保修期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single" w:color="auto" w:sz="4" w:space="0"/>
              <w:left w:val="single" w:color="auto" w:sz="4" w:space="0"/>
              <w:bottom w:val="single" w:color="auto" w:sz="4" w:space="0"/>
              <w:right w:val="single" w:color="auto" w:sz="4" w:space="0"/>
            </w:tcBorders>
          </w:tcPr>
          <w:p>
            <w:pPr>
              <w:adjustRightInd w:val="0"/>
              <w:snapToGrid w:val="0"/>
              <w:spacing w:line="440" w:lineRule="exact"/>
              <w:rPr>
                <w:rFonts w:asciiTheme="minorEastAsia" w:hAnsiTheme="minorEastAsia"/>
                <w:szCs w:val="21"/>
              </w:rPr>
            </w:pPr>
            <w:r>
              <w:rPr>
                <w:rFonts w:hint="eastAsia" w:asciiTheme="minorEastAsia" w:hAnsiTheme="minorEastAsia"/>
                <w:szCs w:val="21"/>
              </w:rPr>
              <w:t>实施周期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single" w:color="auto" w:sz="4" w:space="0"/>
              <w:left w:val="single" w:color="auto" w:sz="4" w:space="0"/>
              <w:bottom w:val="single" w:color="auto" w:sz="4" w:space="0"/>
              <w:right w:val="single" w:color="auto" w:sz="4" w:space="0"/>
            </w:tcBorders>
          </w:tcPr>
          <w:p>
            <w:pPr>
              <w:adjustRightInd w:val="0"/>
              <w:snapToGrid w:val="0"/>
              <w:spacing w:line="440" w:lineRule="exact"/>
              <w:rPr>
                <w:rFonts w:asciiTheme="minorEastAsia" w:hAnsiTheme="minorEastAsia"/>
                <w:szCs w:val="21"/>
              </w:rPr>
            </w:pPr>
            <w:r>
              <w:rPr>
                <w:rFonts w:hint="eastAsia" w:asciiTheme="minorEastAsia" w:hAnsiTheme="minorEastAsia"/>
                <w:szCs w:val="21"/>
              </w:rPr>
              <w:t>人员组织保障</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single" w:color="auto" w:sz="4" w:space="0"/>
              <w:bottom w:val="single" w:color="auto" w:sz="4" w:space="0"/>
              <w:right w:val="single" w:color="auto" w:sz="4" w:space="0"/>
            </w:tcBorders>
          </w:tcPr>
          <w:p>
            <w:pPr>
              <w:adjustRightInd w:val="0"/>
              <w:snapToGrid w:val="0"/>
              <w:spacing w:line="440" w:lineRule="exact"/>
              <w:rPr>
                <w:rFonts w:asciiTheme="minorEastAsia" w:hAnsiTheme="minorEastAsia"/>
                <w:szCs w:val="21"/>
              </w:rPr>
            </w:pPr>
            <w:r>
              <w:rPr>
                <w:rFonts w:hint="eastAsia" w:asciiTheme="minorEastAsia" w:hAnsiTheme="minorEastAsia"/>
                <w:szCs w:val="21"/>
              </w:rPr>
              <w:t>到位维修响应</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single" w:color="auto" w:sz="4" w:space="0"/>
              <w:bottom w:val="single" w:color="auto" w:sz="4" w:space="0"/>
              <w:right w:val="single" w:color="auto" w:sz="4" w:space="0"/>
            </w:tcBorders>
          </w:tcPr>
          <w:p>
            <w:pPr>
              <w:adjustRightInd w:val="0"/>
              <w:snapToGrid w:val="0"/>
              <w:spacing w:line="440" w:lineRule="exact"/>
              <w:rPr>
                <w:rFonts w:asciiTheme="minorEastAsia" w:hAnsiTheme="minorEastAsia"/>
                <w:szCs w:val="21"/>
              </w:rPr>
            </w:pPr>
            <w:r>
              <w:rPr>
                <w:rFonts w:hint="eastAsia" w:asciiTheme="minorEastAsia" w:hAnsiTheme="minorEastAsia"/>
                <w:szCs w:val="21"/>
              </w:rPr>
              <w:t>企业服务方式、现场支持、服务费用、服务等级等</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single" w:color="auto" w:sz="4" w:space="0"/>
              <w:bottom w:val="single" w:color="auto" w:sz="4" w:space="0"/>
              <w:right w:val="single" w:color="auto" w:sz="4" w:space="0"/>
            </w:tcBorders>
          </w:tcPr>
          <w:p>
            <w:pPr>
              <w:adjustRightInd w:val="0"/>
              <w:snapToGrid w:val="0"/>
              <w:spacing w:line="440" w:lineRule="exact"/>
              <w:rPr>
                <w:rFonts w:asciiTheme="minorEastAsia" w:hAnsiTheme="minorEastAsia"/>
                <w:szCs w:val="21"/>
              </w:rPr>
            </w:pPr>
            <w:r>
              <w:rPr>
                <w:rFonts w:hint="eastAsia" w:asciiTheme="minorEastAsia" w:hAnsiTheme="minorEastAsia"/>
                <w:szCs w:val="21"/>
              </w:rPr>
              <w:t>软件运营过程中安全服务和后期技术咨询承诺</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注：以上项目由报价方自行填写，对于未提供项填写“无”。</w:t>
      </w: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附件13</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商务评审表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8"/>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银行颁发的资信（信用）</w:t>
            </w:r>
          </w:p>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财务状况（</w:t>
            </w:r>
            <w:r>
              <w:rPr>
                <w:rFonts w:hint="eastAsia" w:asciiTheme="majorEastAsia" w:hAnsiTheme="majorEastAsia" w:eastAsiaTheme="majorEastAsia"/>
                <w:sz w:val="24"/>
                <w:szCs w:val="24"/>
              </w:rPr>
              <w:t>平均净利润</w:t>
            </w:r>
            <w:r>
              <w:rPr>
                <w:rFonts w:hint="eastAsia" w:cs="宋体" w:asciiTheme="majorEastAsia" w:hAnsiTheme="majorEastAsia" w:eastAsiaTheme="majorEastAsia"/>
                <w:b/>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jc w:val="left"/>
        <w:rPr>
          <w:rFonts w:cs="Times New Roman" w:asciiTheme="minorEastAsia" w:hAnsiTheme="minorEastAsia"/>
          <w:kern w:val="0"/>
          <w:szCs w:val="21"/>
        </w:rPr>
      </w:pPr>
    </w:p>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注：以上项目由报价方自行填写，对于未提供项填写“无”。</w:t>
      </w: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adjustRightInd w:val="0"/>
        <w:snapToGrid w:val="0"/>
        <w:jc w:val="left"/>
        <w:rPr>
          <w:rFonts w:cs="Times New Roman" w:asciiTheme="minorEastAsia" w:hAnsiTheme="minorEastAsia"/>
          <w:kern w:val="0"/>
          <w:szCs w:val="21"/>
        </w:rPr>
      </w:pPr>
      <w:r>
        <w:rPr>
          <w:rFonts w:cs="Times New Roman" w:asciiTheme="minorEastAsia" w:hAnsiTheme="minorEastAsia"/>
          <w:kern w:val="0"/>
          <w:szCs w:val="21"/>
        </w:rPr>
        <w:br w:type="page"/>
      </w: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附件14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（报价方全称）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w:pict>
          <v:shape id="文本框 5" o:spid="_x0000_s1032" o:spt="202" type="#_x0000_t202" style="position:absolute;left:0pt;margin-left:226.9pt;margin-top:10.35pt;height:103.9pt;width:209.1pt;z-index:251661312;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6" o:spid="_x0000_s1031" o:spt="202" type="#_x0000_t202" style="position:absolute;left:0pt;margin-left:2.1pt;margin-top:10.35pt;height:103.9pt;width:206.6pt;z-index:251660288;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5</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（报价方全称）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w:pict>
          <v:shape id="文本框 1" o:spid="_x0000_s1034" o:spt="202" type="#_x0000_t202" style="position:absolute;left:0pt;margin-left:228.25pt;margin-top:14.25pt;height:105.95pt;width:210.95pt;z-index:251663360;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2" o:spid="_x0000_s1033" o:spt="202" type="#_x0000_t202" style="position:absolute;left:0pt;margin-left:1.4pt;margin-top:15.6pt;height:104.6pt;width:211.6pt;z-index:251662336;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8"/>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我方承诺，以上信息真实可靠；如填报的股东出资额、出资比例等与实际不符，视为放弃成交资格。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3.报价方应按照占全部股份比例从大到小依次逐个股东填写，股东数量多于10个的，填写前10名，不足10个的全部填写。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四、谈判文件以及相关技术文件专室放置、专盘存储、专人管理。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五、未经采购机构审查批准，不得擅自在互联网、通讯媒体等发表涉及此次采购项目相关内容或资讯。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违反上述承诺，愿承担一切法律责任，接受军队采购管理部门和采购机构按国家和军队规定作出的相关处罚。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如违反上述承诺，贵院有权取消我方的报价资格，由此引起的一切损失由我单位自行承担。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cs="宋体" w:asciiTheme="minorEastAsia" w:hAnsiTheme="minorEastAsia"/>
          <w:kern w:val="0"/>
          <w:sz w:val="28"/>
          <w:szCs w:val="28"/>
          <w:lang w:val="zh-CN"/>
        </w:rPr>
      </w:pP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p>
    <w:p>
      <w:pPr>
        <w:autoSpaceDE w:val="0"/>
        <w:autoSpaceDN w:val="0"/>
        <w:adjustRightInd w:val="0"/>
        <w:ind w:firstLine="266" w:firstLineChars="98"/>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ascii="黑体" w:hAnsi="黑体" w:eastAsia="黑体" w:cs="Times New Roman"/>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rPr>
          <w:rFonts w:ascii="黑体" w:hAnsi="黑体" w:eastAsia="黑体" w:cs="Times New Roman"/>
          <w:kern w:val="0"/>
          <w:sz w:val="32"/>
          <w:szCs w:val="32"/>
        </w:rPr>
      </w:pPr>
      <w:r>
        <w:rPr>
          <w:rFonts w:hint="eastAsia" w:ascii="黑体" w:hAnsi="黑体" w:eastAsia="黑体" w:cs="Times New Roman"/>
          <w:kern w:val="0"/>
          <w:sz w:val="32"/>
          <w:szCs w:val="32"/>
        </w:rPr>
        <w:t>附件20</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生产企业对代理公司参与报价的授权书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1、授权书的格式不限，但必须具有授权单位与授权人的公章/签章，授权销售区域，授权期限（起止日期）等主要内容。</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2、进口产品需提供原厂对中国总代的中英文授权，并提供中国总代至各级销售授权书。</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3、生产厂家直接参与报价的不需此文件。</w:t>
      </w:r>
    </w:p>
    <w:p>
      <w:pPr>
        <w:widowControl/>
        <w:jc w:val="left"/>
      </w:pPr>
      <w:r>
        <w:br w:type="page"/>
      </w:r>
    </w:p>
    <w:p>
      <w:pPr>
        <w:widowControl/>
        <w:jc w:val="left"/>
        <w:rPr>
          <w:rFonts w:ascii="黑体" w:hAnsi="黑体" w:eastAsia="黑体" w:cs="Times New Roman"/>
          <w:kern w:val="0"/>
          <w:sz w:val="32"/>
          <w:szCs w:val="32"/>
        </w:rPr>
        <w:sectPr>
          <w:headerReference r:id="rId12" w:type="default"/>
          <w:pgSz w:w="11907" w:h="16840"/>
          <w:pgMar w:top="2098" w:right="1474" w:bottom="1985" w:left="1588" w:header="851" w:footer="964" w:gutter="0"/>
          <w:cols w:space="720" w:num="1"/>
          <w:docGrid w:type="linesAndChars" w:linePitch="579" w:charSpace="-1844"/>
        </w:sectPr>
      </w:pPr>
    </w:p>
    <w:p>
      <w:pPr>
        <w:widowControl/>
        <w:jc w:val="left"/>
      </w:pPr>
      <w:r>
        <w:rPr>
          <w:rFonts w:hint="eastAsia" w:ascii="黑体" w:hAnsi="黑体" w:eastAsia="黑体" w:cs="Times New Roman"/>
          <w:kern w:val="0"/>
          <w:sz w:val="32"/>
          <w:szCs w:val="32"/>
        </w:rPr>
        <w:t xml:space="preserve">附件21    </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技术指标参数要求明细</w:t>
      </w:r>
    </w:p>
    <w:p>
      <w:pPr>
        <w:rPr>
          <w:rFonts w:ascii="宋体" w:hAnsi="宋体" w:eastAsia="宋体" w:cs="Times New Roman"/>
          <w:b/>
          <w:szCs w:val="21"/>
        </w:rPr>
      </w:pPr>
      <w:r>
        <w:rPr>
          <w:rFonts w:hint="eastAsia" w:ascii="宋体" w:hAnsi="宋体" w:eastAsia="宋体" w:cs="Times New Roman"/>
          <w:b/>
          <w:szCs w:val="21"/>
        </w:rPr>
        <w:t>一、本次招标内容列表</w:t>
      </w:r>
    </w:p>
    <w:tbl>
      <w:tblPr>
        <w:tblStyle w:val="18"/>
        <w:tblpPr w:leftFromText="180" w:rightFromText="180" w:vertAnchor="text" w:horzAnchor="margin" w:tblpY="152"/>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387"/>
        <w:gridCol w:w="2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17" w:type="dxa"/>
            <w:vAlign w:val="center"/>
          </w:tcPr>
          <w:p>
            <w:pPr>
              <w:jc w:val="center"/>
              <w:rPr>
                <w:rFonts w:ascii="宋体" w:hAnsi="宋体" w:eastAsia="宋体" w:cs="Times New Roman"/>
                <w:b/>
                <w:bCs/>
                <w:szCs w:val="21"/>
              </w:rPr>
            </w:pPr>
            <w:r>
              <w:rPr>
                <w:rFonts w:hint="eastAsia" w:ascii="宋体" w:hAnsi="宋体" w:eastAsia="宋体" w:cs="Times New Roman"/>
                <w:b/>
                <w:bCs/>
                <w:szCs w:val="21"/>
              </w:rPr>
              <w:t>序号</w:t>
            </w:r>
          </w:p>
        </w:tc>
        <w:tc>
          <w:tcPr>
            <w:tcW w:w="5387" w:type="dxa"/>
            <w:vAlign w:val="center"/>
          </w:tcPr>
          <w:p>
            <w:pPr>
              <w:jc w:val="center"/>
              <w:rPr>
                <w:rFonts w:ascii="宋体" w:hAnsi="宋体" w:eastAsia="宋体" w:cs="Times New Roman"/>
                <w:b/>
                <w:bCs/>
                <w:szCs w:val="21"/>
              </w:rPr>
            </w:pPr>
            <w:r>
              <w:rPr>
                <w:rFonts w:hint="eastAsia" w:ascii="宋体" w:hAnsi="宋体" w:eastAsia="宋体" w:cs="Times New Roman"/>
                <w:b/>
                <w:bCs/>
                <w:szCs w:val="21"/>
              </w:rPr>
              <w:t>内容</w:t>
            </w:r>
          </w:p>
        </w:tc>
        <w:tc>
          <w:tcPr>
            <w:tcW w:w="2722" w:type="dxa"/>
            <w:vAlign w:val="center"/>
          </w:tcPr>
          <w:p>
            <w:pPr>
              <w:jc w:val="center"/>
              <w:rPr>
                <w:rFonts w:ascii="宋体" w:hAnsi="宋体" w:eastAsia="宋体" w:cs="Times New Roman"/>
                <w:b/>
                <w:bCs/>
                <w:szCs w:val="21"/>
              </w:rPr>
            </w:pPr>
            <w:r>
              <w:rPr>
                <w:rFonts w:hint="eastAsia" w:ascii="宋体" w:hAnsi="宋体" w:eastAsia="宋体" w:cs="Times New Roman"/>
                <w:b/>
                <w:bCs/>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17" w:type="dxa"/>
            <w:vAlign w:val="center"/>
          </w:tcPr>
          <w:p>
            <w:pPr>
              <w:jc w:val="center"/>
              <w:rPr>
                <w:rFonts w:ascii="宋体" w:hAnsi="宋体" w:eastAsia="宋体" w:cs="Times New Roman"/>
                <w:szCs w:val="21"/>
              </w:rPr>
            </w:pPr>
            <w:r>
              <w:rPr>
                <w:rFonts w:hint="eastAsia" w:ascii="宋体" w:hAnsi="宋体" w:eastAsia="宋体" w:cs="Times New Roman"/>
                <w:szCs w:val="21"/>
              </w:rPr>
              <w:t>1</w:t>
            </w:r>
          </w:p>
        </w:tc>
        <w:tc>
          <w:tcPr>
            <w:tcW w:w="5387" w:type="dxa"/>
            <w:vAlign w:val="center"/>
          </w:tcPr>
          <w:p>
            <w:pPr>
              <w:jc w:val="center"/>
              <w:rPr>
                <w:rFonts w:ascii="宋体" w:hAnsi="宋体" w:eastAsia="宋体" w:cs="Times New Roman"/>
                <w:szCs w:val="21"/>
              </w:rPr>
            </w:pPr>
            <w:r>
              <w:rPr>
                <w:rFonts w:hint="eastAsia" w:ascii="宋体" w:hAnsi="宋体" w:eastAsia="宋体" w:cs="Times New Roman"/>
                <w:szCs w:val="21"/>
              </w:rPr>
              <w:t>实验室文档管理</w:t>
            </w:r>
          </w:p>
        </w:tc>
        <w:tc>
          <w:tcPr>
            <w:tcW w:w="2722" w:type="dxa"/>
            <w:vAlign w:val="center"/>
          </w:tcPr>
          <w:p>
            <w:pPr>
              <w:jc w:val="center"/>
              <w:rPr>
                <w:rFonts w:ascii="宋体" w:hAnsi="宋体" w:eastAsia="宋体" w:cs="Times New Roman"/>
                <w:szCs w:val="21"/>
              </w:rPr>
            </w:pPr>
            <w:r>
              <w:rPr>
                <w:rFonts w:hint="eastAsia" w:ascii="宋体" w:hAnsi="宋体" w:eastAsia="宋体" w:cs="Times New Roman"/>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exact"/>
        </w:trPr>
        <w:tc>
          <w:tcPr>
            <w:tcW w:w="817" w:type="dxa"/>
            <w:vAlign w:val="center"/>
          </w:tcPr>
          <w:p>
            <w:pPr>
              <w:jc w:val="center"/>
              <w:rPr>
                <w:rFonts w:ascii="宋体" w:hAnsi="宋体" w:eastAsia="宋体" w:cs="Times New Roman"/>
                <w:szCs w:val="21"/>
              </w:rPr>
            </w:pPr>
            <w:r>
              <w:rPr>
                <w:rFonts w:hint="eastAsia" w:ascii="宋体" w:hAnsi="宋体" w:eastAsia="宋体" w:cs="Times New Roman"/>
                <w:szCs w:val="21"/>
              </w:rPr>
              <w:t>2</w:t>
            </w:r>
          </w:p>
        </w:tc>
        <w:tc>
          <w:tcPr>
            <w:tcW w:w="5387" w:type="dxa"/>
            <w:vAlign w:val="bottom"/>
          </w:tcPr>
          <w:p>
            <w:pPr>
              <w:jc w:val="center"/>
              <w:rPr>
                <w:rFonts w:ascii="宋体" w:hAnsi="宋体" w:eastAsia="宋体" w:cs="Times New Roman"/>
                <w:szCs w:val="21"/>
              </w:rPr>
            </w:pPr>
            <w:r>
              <w:rPr>
                <w:rFonts w:hint="eastAsia" w:ascii="宋体" w:hAnsi="宋体" w:eastAsia="宋体" w:cs="Times New Roman"/>
                <w:szCs w:val="21"/>
              </w:rPr>
              <w:t>检验知识库</w:t>
            </w:r>
          </w:p>
        </w:tc>
        <w:tc>
          <w:tcPr>
            <w:tcW w:w="2722" w:type="dxa"/>
            <w:vAlign w:val="center"/>
          </w:tcPr>
          <w:p>
            <w:pPr>
              <w:jc w:val="center"/>
              <w:rPr>
                <w:rFonts w:ascii="宋体" w:hAnsi="宋体" w:eastAsia="宋体" w:cs="Times New Roman"/>
                <w:szCs w:val="21"/>
              </w:rPr>
            </w:pPr>
            <w:r>
              <w:rPr>
                <w:rFonts w:hint="eastAsia" w:ascii="宋体" w:hAnsi="宋体" w:eastAsia="宋体" w:cs="Times New Roman"/>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17" w:type="dxa"/>
            <w:vAlign w:val="center"/>
          </w:tcPr>
          <w:p>
            <w:pPr>
              <w:jc w:val="center"/>
              <w:rPr>
                <w:rFonts w:ascii="宋体" w:hAnsi="宋体" w:eastAsia="宋体" w:cs="Times New Roman"/>
                <w:szCs w:val="21"/>
              </w:rPr>
            </w:pPr>
            <w:r>
              <w:rPr>
                <w:rFonts w:hint="eastAsia" w:ascii="宋体" w:hAnsi="宋体" w:eastAsia="宋体" w:cs="Times New Roman"/>
                <w:szCs w:val="21"/>
              </w:rPr>
              <w:t>3</w:t>
            </w:r>
          </w:p>
        </w:tc>
        <w:tc>
          <w:tcPr>
            <w:tcW w:w="5387" w:type="dxa"/>
            <w:vAlign w:val="bottom"/>
          </w:tcPr>
          <w:p>
            <w:pPr>
              <w:jc w:val="center"/>
              <w:rPr>
                <w:rFonts w:ascii="宋体" w:hAnsi="宋体" w:eastAsia="宋体" w:cs="Times New Roman"/>
                <w:szCs w:val="21"/>
              </w:rPr>
            </w:pPr>
            <w:r>
              <w:rPr>
                <w:rFonts w:hint="eastAsia" w:ascii="宋体" w:hAnsi="宋体" w:eastAsia="宋体" w:cs="Times New Roman"/>
                <w:szCs w:val="21"/>
              </w:rPr>
              <w:t>实验室档案中心</w:t>
            </w:r>
          </w:p>
        </w:tc>
        <w:tc>
          <w:tcPr>
            <w:tcW w:w="2722" w:type="dxa"/>
            <w:vAlign w:val="center"/>
          </w:tcPr>
          <w:p>
            <w:pPr>
              <w:jc w:val="center"/>
              <w:rPr>
                <w:rFonts w:ascii="宋体" w:hAnsi="宋体" w:eastAsia="宋体" w:cs="Times New Roman"/>
                <w:szCs w:val="21"/>
              </w:rPr>
            </w:pPr>
            <w:r>
              <w:rPr>
                <w:rFonts w:hint="eastAsia" w:ascii="宋体" w:hAnsi="宋体" w:eastAsia="宋体" w:cs="Times New Roman"/>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17" w:type="dxa"/>
            <w:vAlign w:val="center"/>
          </w:tcPr>
          <w:p>
            <w:pPr>
              <w:jc w:val="center"/>
              <w:rPr>
                <w:rFonts w:ascii="宋体" w:hAnsi="宋体" w:eastAsia="宋体" w:cs="Times New Roman"/>
                <w:szCs w:val="21"/>
              </w:rPr>
            </w:pPr>
            <w:r>
              <w:rPr>
                <w:rFonts w:hint="eastAsia" w:ascii="宋体" w:hAnsi="宋体" w:eastAsia="宋体" w:cs="Times New Roman"/>
                <w:szCs w:val="21"/>
              </w:rPr>
              <w:t>4</w:t>
            </w:r>
          </w:p>
        </w:tc>
        <w:tc>
          <w:tcPr>
            <w:tcW w:w="5387" w:type="dxa"/>
            <w:vAlign w:val="bottom"/>
          </w:tcPr>
          <w:p>
            <w:pPr>
              <w:jc w:val="center"/>
              <w:rPr>
                <w:rFonts w:ascii="宋体" w:hAnsi="宋体" w:eastAsia="宋体" w:cs="Times New Roman"/>
                <w:szCs w:val="21"/>
              </w:rPr>
            </w:pPr>
            <w:r>
              <w:rPr>
                <w:rFonts w:hint="eastAsia" w:ascii="宋体" w:hAnsi="宋体" w:eastAsia="宋体" w:cs="Times New Roman"/>
                <w:szCs w:val="21"/>
              </w:rPr>
              <w:t>实验室事务项管理系统设计器</w:t>
            </w:r>
          </w:p>
        </w:tc>
        <w:tc>
          <w:tcPr>
            <w:tcW w:w="2722" w:type="dxa"/>
            <w:vAlign w:val="center"/>
          </w:tcPr>
          <w:p>
            <w:pPr>
              <w:jc w:val="center"/>
              <w:rPr>
                <w:rFonts w:ascii="宋体" w:hAnsi="宋体" w:eastAsia="宋体" w:cs="Times New Roman"/>
                <w:szCs w:val="21"/>
              </w:rPr>
            </w:pPr>
            <w:r>
              <w:rPr>
                <w:rFonts w:ascii="宋体" w:hAnsi="宋体" w:eastAsia="宋体" w:cs="Times New Roman"/>
                <w:szCs w:val="21"/>
              </w:rPr>
              <w:t>1</w:t>
            </w:r>
          </w:p>
        </w:tc>
      </w:tr>
    </w:tbl>
    <w:p>
      <w:pPr>
        <w:widowControl/>
        <w:topLinePunct/>
        <w:autoSpaceDE w:val="0"/>
        <w:adjustRightInd w:val="0"/>
        <w:spacing w:line="360" w:lineRule="auto"/>
        <w:rPr>
          <w:rFonts w:ascii="宋体" w:hAnsi="宋体" w:eastAsia="宋体" w:cs="宋体"/>
          <w:szCs w:val="21"/>
        </w:rPr>
      </w:pPr>
      <w:r>
        <w:rPr>
          <w:rFonts w:hint="eastAsia" w:ascii="宋体" w:hAnsi="宋体" w:eastAsia="宋体" w:cs="宋体"/>
          <w:szCs w:val="21"/>
        </w:rPr>
        <w:t>二、项目总体要求</w:t>
      </w:r>
    </w:p>
    <w:tbl>
      <w:tblPr>
        <w:tblStyle w:val="54"/>
        <w:tblW w:w="8897"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17"/>
        <w:gridCol w:w="1559"/>
        <w:gridCol w:w="652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Borders>
              <w:right w:val="single" w:color="auto" w:sz="4" w:space="0"/>
            </w:tcBorders>
            <w:vAlign w:val="center"/>
          </w:tcPr>
          <w:p>
            <w:pPr>
              <w:widowControl/>
              <w:topLinePunct/>
              <w:autoSpaceDE w:val="0"/>
              <w:adjustRightInd w:val="0"/>
              <w:spacing w:line="360" w:lineRule="auto"/>
              <w:jc w:val="center"/>
              <w:rPr>
                <w:rFonts w:ascii="宋体" w:hAnsi="宋体" w:eastAsia="宋体" w:cs="宋体"/>
                <w:kern w:val="0"/>
                <w:sz w:val="21"/>
                <w:szCs w:val="21"/>
                <w:lang w:val="es-AR" w:bidi="ne-NP"/>
              </w:rPr>
            </w:pPr>
            <w:r>
              <w:rPr>
                <w:rFonts w:hint="eastAsia" w:ascii="宋体" w:hAnsi="宋体" w:eastAsia="宋体" w:cs="宋体"/>
                <w:kern w:val="0"/>
                <w:sz w:val="21"/>
                <w:szCs w:val="21"/>
                <w:lang w:val="es-AR" w:bidi="ne-NP"/>
              </w:rPr>
              <w:t>序号</w:t>
            </w:r>
          </w:p>
        </w:tc>
        <w:tc>
          <w:tcPr>
            <w:tcW w:w="1559" w:type="dxa"/>
            <w:tcBorders>
              <w:left w:val="single" w:color="auto" w:sz="4" w:space="0"/>
            </w:tcBorders>
            <w:vAlign w:val="center"/>
          </w:tcPr>
          <w:p>
            <w:pPr>
              <w:widowControl/>
              <w:topLinePunct/>
              <w:autoSpaceDE w:val="0"/>
              <w:adjustRightInd w:val="0"/>
              <w:spacing w:line="360" w:lineRule="auto"/>
              <w:jc w:val="center"/>
              <w:rPr>
                <w:rFonts w:ascii="宋体" w:hAnsi="宋体" w:eastAsia="宋体" w:cs="宋体"/>
                <w:kern w:val="0"/>
                <w:sz w:val="21"/>
                <w:szCs w:val="21"/>
                <w:lang w:val="es-AR" w:bidi="ne-NP"/>
              </w:rPr>
            </w:pPr>
            <w:r>
              <w:rPr>
                <w:rFonts w:hint="eastAsia" w:ascii="宋体" w:hAnsi="宋体" w:eastAsia="宋体" w:cs="宋体"/>
                <w:kern w:val="0"/>
                <w:sz w:val="21"/>
                <w:szCs w:val="21"/>
                <w:lang w:val="es-AR" w:bidi="ne-NP"/>
              </w:rPr>
              <w:t>要求</w:t>
            </w:r>
          </w:p>
        </w:tc>
        <w:tc>
          <w:tcPr>
            <w:tcW w:w="6521" w:type="dxa"/>
            <w:vAlign w:val="bottom"/>
          </w:tcPr>
          <w:p>
            <w:pPr>
              <w:widowControl/>
              <w:topLinePunct/>
              <w:autoSpaceDE w:val="0"/>
              <w:adjustRightInd w:val="0"/>
              <w:spacing w:line="360" w:lineRule="auto"/>
              <w:jc w:val="left"/>
              <w:rPr>
                <w:rFonts w:ascii="宋体" w:hAnsi="宋体" w:eastAsia="宋体" w:cs="宋体"/>
                <w:kern w:val="0"/>
                <w:sz w:val="21"/>
                <w:szCs w:val="21"/>
                <w:lang w:val="es-AR" w:bidi="ne-NP"/>
              </w:rPr>
            </w:pPr>
            <w:r>
              <w:rPr>
                <w:rFonts w:hint="eastAsia" w:ascii="宋体" w:hAnsi="宋体" w:eastAsia="宋体" w:cs="宋体"/>
                <w:kern w:val="0"/>
                <w:sz w:val="21"/>
                <w:szCs w:val="21"/>
                <w:lang w:val="es-AR" w:bidi="ne-NP"/>
              </w:rPr>
              <w:t>具体内容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Borders>
              <w:right w:val="single" w:color="auto" w:sz="4" w:space="0"/>
            </w:tcBorders>
            <w:vAlign w:val="center"/>
          </w:tcPr>
          <w:p>
            <w:pPr>
              <w:widowControl/>
              <w:topLinePunct/>
              <w:autoSpaceDE w:val="0"/>
              <w:adjustRightInd w:val="0"/>
              <w:spacing w:line="360" w:lineRule="auto"/>
              <w:jc w:val="center"/>
              <w:rPr>
                <w:rFonts w:ascii="宋体" w:hAnsi="宋体" w:eastAsia="宋体" w:cs="宋体"/>
                <w:kern w:val="0"/>
                <w:sz w:val="21"/>
                <w:szCs w:val="21"/>
                <w:lang w:val="es-AR" w:bidi="ne-NP"/>
              </w:rPr>
            </w:pPr>
            <w:r>
              <w:rPr>
                <w:rFonts w:hint="eastAsia" w:ascii="宋体" w:hAnsi="宋体" w:eastAsia="宋体" w:cs="宋体"/>
                <w:kern w:val="0"/>
                <w:sz w:val="21"/>
                <w:szCs w:val="21"/>
                <w:lang w:val="es-AR" w:bidi="ne-NP"/>
              </w:rPr>
              <w:t>1</w:t>
            </w:r>
          </w:p>
        </w:tc>
        <w:tc>
          <w:tcPr>
            <w:tcW w:w="1559" w:type="dxa"/>
            <w:tcBorders>
              <w:left w:val="single" w:color="auto" w:sz="4" w:space="0"/>
            </w:tcBorders>
            <w:vAlign w:val="center"/>
          </w:tcPr>
          <w:p>
            <w:pPr>
              <w:widowControl/>
              <w:topLinePunct/>
              <w:autoSpaceDE w:val="0"/>
              <w:adjustRightInd w:val="0"/>
              <w:spacing w:line="360" w:lineRule="auto"/>
              <w:jc w:val="center"/>
              <w:rPr>
                <w:rFonts w:ascii="宋体" w:hAnsi="宋体" w:eastAsia="宋体" w:cs="宋体"/>
                <w:kern w:val="0"/>
                <w:sz w:val="21"/>
                <w:szCs w:val="21"/>
                <w:lang w:val="es-AR" w:bidi="ne-NP"/>
              </w:rPr>
            </w:pPr>
            <w:r>
              <w:rPr>
                <w:rFonts w:hint="eastAsia" w:ascii="宋体" w:hAnsi="宋体" w:eastAsia="宋体" w:cs="宋体"/>
                <w:kern w:val="0"/>
                <w:sz w:val="21"/>
                <w:szCs w:val="21"/>
                <w:lang w:val="es-AR" w:bidi="ne-NP"/>
              </w:rPr>
              <w:t>工期</w:t>
            </w:r>
          </w:p>
        </w:tc>
        <w:tc>
          <w:tcPr>
            <w:tcW w:w="6521" w:type="dxa"/>
            <w:vAlign w:val="bottom"/>
          </w:tcPr>
          <w:p>
            <w:pPr>
              <w:widowControl/>
              <w:topLinePunct/>
              <w:autoSpaceDE w:val="0"/>
              <w:adjustRightInd w:val="0"/>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签订合同后</w:t>
            </w:r>
            <w:r>
              <w:rPr>
                <w:rFonts w:hint="eastAsia" w:ascii="宋体" w:hAnsi="宋体" w:eastAsia="宋体" w:cs="宋体"/>
                <w:kern w:val="0"/>
                <w:sz w:val="21"/>
                <w:szCs w:val="21"/>
                <w:u w:val="single"/>
              </w:rPr>
              <w:t xml:space="preserve"> 180</w:t>
            </w:r>
            <w:r>
              <w:rPr>
                <w:rFonts w:hint="eastAsia" w:ascii="宋体" w:hAnsi="宋体" w:eastAsia="宋体" w:cs="宋体"/>
                <w:kern w:val="0"/>
                <w:sz w:val="21"/>
                <w:szCs w:val="21"/>
              </w:rPr>
              <w:t>日内完成。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Borders>
              <w:right w:val="single" w:color="auto" w:sz="4" w:space="0"/>
            </w:tcBorders>
            <w:vAlign w:val="center"/>
          </w:tcPr>
          <w:p>
            <w:pPr>
              <w:widowControl/>
              <w:topLinePunct/>
              <w:autoSpaceDE w:val="0"/>
              <w:adjustRightInd w:val="0"/>
              <w:spacing w:line="360" w:lineRule="auto"/>
              <w:jc w:val="center"/>
              <w:rPr>
                <w:rFonts w:ascii="宋体" w:hAnsi="宋体" w:eastAsia="宋体" w:cs="宋体"/>
                <w:kern w:val="0"/>
                <w:sz w:val="21"/>
                <w:szCs w:val="21"/>
                <w:lang w:val="es-AR" w:bidi="ne-NP"/>
              </w:rPr>
            </w:pPr>
            <w:r>
              <w:rPr>
                <w:rFonts w:hint="eastAsia" w:ascii="宋体" w:hAnsi="宋体" w:eastAsia="宋体" w:cs="宋体"/>
                <w:kern w:val="0"/>
                <w:sz w:val="21"/>
                <w:szCs w:val="21"/>
                <w:lang w:val="es-AR" w:bidi="ne-NP"/>
              </w:rPr>
              <w:t>2</w:t>
            </w:r>
          </w:p>
        </w:tc>
        <w:tc>
          <w:tcPr>
            <w:tcW w:w="1559" w:type="dxa"/>
            <w:tcBorders>
              <w:left w:val="single" w:color="auto" w:sz="4" w:space="0"/>
            </w:tcBorders>
            <w:vAlign w:val="center"/>
          </w:tcPr>
          <w:p>
            <w:pPr>
              <w:widowControl/>
              <w:topLinePunct/>
              <w:autoSpaceDE w:val="0"/>
              <w:adjustRightInd w:val="0"/>
              <w:spacing w:line="360" w:lineRule="auto"/>
              <w:jc w:val="center"/>
              <w:rPr>
                <w:rFonts w:ascii="宋体" w:hAnsi="宋体" w:eastAsia="宋体" w:cs="宋体"/>
                <w:kern w:val="0"/>
                <w:sz w:val="21"/>
                <w:szCs w:val="21"/>
                <w:lang w:val="es-AR" w:bidi="ne-NP"/>
              </w:rPr>
            </w:pPr>
            <w:r>
              <w:rPr>
                <w:rFonts w:hint="eastAsia" w:ascii="宋体" w:hAnsi="宋体" w:eastAsia="宋体" w:cs="宋体"/>
                <w:kern w:val="0"/>
                <w:sz w:val="21"/>
                <w:szCs w:val="21"/>
                <w:lang w:val="es-AR" w:bidi="ne-NP"/>
              </w:rPr>
              <w:t>售后服务</w:t>
            </w:r>
          </w:p>
        </w:tc>
        <w:tc>
          <w:tcPr>
            <w:tcW w:w="6521" w:type="dxa"/>
            <w:vAlign w:val="bottom"/>
          </w:tcPr>
          <w:p>
            <w:pPr>
              <w:widowControl/>
              <w:topLinePunct/>
              <w:autoSpaceDE w:val="0"/>
              <w:adjustRightInd w:val="0"/>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所有软件，</w:t>
            </w:r>
            <w:r>
              <w:rPr>
                <w:rFonts w:ascii="宋体" w:hAnsi="宋体" w:eastAsia="宋体" w:cs="宋体"/>
                <w:kern w:val="0"/>
                <w:sz w:val="21"/>
                <w:szCs w:val="21"/>
              </w:rPr>
              <w:t>自验收合格日起至少提供为期</w:t>
            </w:r>
            <w:r>
              <w:rPr>
                <w:rFonts w:hint="eastAsia" w:ascii="宋体" w:hAnsi="宋体" w:eastAsia="宋体" w:cs="宋体"/>
                <w:kern w:val="0"/>
                <w:sz w:val="21"/>
                <w:szCs w:val="21"/>
                <w:u w:val="single"/>
              </w:rPr>
              <w:t>3</w:t>
            </w:r>
            <w:r>
              <w:rPr>
                <w:rFonts w:ascii="宋体" w:hAnsi="宋体" w:eastAsia="宋体" w:cs="宋体"/>
                <w:kern w:val="0"/>
                <w:sz w:val="21"/>
                <w:szCs w:val="21"/>
              </w:rPr>
              <w:t>年</w:t>
            </w:r>
            <w:r>
              <w:rPr>
                <w:rFonts w:hint="eastAsia" w:ascii="宋体" w:hAnsi="宋体" w:eastAsia="宋体" w:cs="宋体"/>
                <w:kern w:val="0"/>
                <w:sz w:val="21"/>
                <w:szCs w:val="21"/>
              </w:rPr>
              <w:t>以上</w:t>
            </w:r>
            <w:r>
              <w:rPr>
                <w:rFonts w:ascii="宋体" w:hAnsi="宋体" w:eastAsia="宋体" w:cs="宋体"/>
                <w:kern w:val="0"/>
                <w:sz w:val="21"/>
                <w:szCs w:val="21"/>
              </w:rPr>
              <w:t>的</w:t>
            </w:r>
            <w:r>
              <w:rPr>
                <w:rFonts w:hint="eastAsia" w:ascii="宋体" w:hAnsi="宋体" w:eastAsia="宋体" w:cs="宋体"/>
                <w:kern w:val="0"/>
                <w:sz w:val="21"/>
                <w:szCs w:val="21"/>
              </w:rPr>
              <w:t>原厂</w:t>
            </w:r>
            <w:r>
              <w:rPr>
                <w:rFonts w:ascii="宋体" w:hAnsi="宋体" w:eastAsia="宋体" w:cs="宋体"/>
                <w:kern w:val="0"/>
                <w:sz w:val="21"/>
                <w:szCs w:val="21"/>
              </w:rPr>
              <w:t>免费售后服务</w:t>
            </w:r>
            <w:r>
              <w:rPr>
                <w:rFonts w:hint="eastAsia" w:ascii="宋体" w:hAnsi="宋体" w:eastAsia="宋体" w:cs="宋体"/>
                <w:kern w:val="0"/>
                <w:sz w:val="21"/>
                <w:szCs w:val="21"/>
              </w:rPr>
              <w:t>。</w:t>
            </w:r>
          </w:p>
          <w:p>
            <w:pPr>
              <w:widowControl/>
              <w:topLinePunct/>
              <w:autoSpaceDE w:val="0"/>
              <w:adjustRightInd w:val="0"/>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7*24售后。</w:t>
            </w:r>
          </w:p>
          <w:p>
            <w:pPr>
              <w:widowControl/>
              <w:topLinePunct/>
              <w:autoSpaceDE w:val="0"/>
              <w:adjustRightInd w:val="0"/>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实施期间至少保障2个以上驻点工程师。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Borders>
              <w:right w:val="single" w:color="auto" w:sz="4" w:space="0"/>
            </w:tcBorders>
            <w:vAlign w:val="center"/>
          </w:tcPr>
          <w:p>
            <w:pPr>
              <w:widowControl/>
              <w:topLinePunct/>
              <w:autoSpaceDE w:val="0"/>
              <w:adjustRightInd w:val="0"/>
              <w:spacing w:line="360" w:lineRule="auto"/>
              <w:jc w:val="center"/>
              <w:rPr>
                <w:rFonts w:ascii="宋体" w:hAnsi="宋体" w:eastAsia="宋体" w:cs="宋体"/>
                <w:kern w:val="0"/>
                <w:sz w:val="21"/>
                <w:szCs w:val="21"/>
                <w:lang w:val="es-AR" w:bidi="ne-NP"/>
              </w:rPr>
            </w:pPr>
            <w:r>
              <w:rPr>
                <w:rFonts w:hint="eastAsia" w:ascii="宋体" w:hAnsi="宋体" w:eastAsia="宋体" w:cs="宋体"/>
                <w:kern w:val="0"/>
                <w:sz w:val="21"/>
                <w:szCs w:val="21"/>
                <w:lang w:val="es-AR" w:bidi="ne-NP"/>
              </w:rPr>
              <w:t>3</w:t>
            </w:r>
          </w:p>
        </w:tc>
        <w:tc>
          <w:tcPr>
            <w:tcW w:w="1559" w:type="dxa"/>
            <w:tcBorders>
              <w:left w:val="single" w:color="auto" w:sz="4" w:space="0"/>
            </w:tcBorders>
            <w:vAlign w:val="center"/>
          </w:tcPr>
          <w:p>
            <w:pPr>
              <w:widowControl/>
              <w:topLinePunct/>
              <w:autoSpaceDE w:val="0"/>
              <w:adjustRightInd w:val="0"/>
              <w:spacing w:line="360" w:lineRule="auto"/>
              <w:jc w:val="center"/>
              <w:rPr>
                <w:rFonts w:ascii="宋体" w:hAnsi="宋体" w:eastAsia="宋体" w:cs="宋体"/>
                <w:kern w:val="0"/>
                <w:sz w:val="21"/>
                <w:szCs w:val="21"/>
                <w:lang w:val="es-AR" w:bidi="ne-NP"/>
              </w:rPr>
            </w:pPr>
            <w:r>
              <w:rPr>
                <w:rFonts w:hint="eastAsia" w:ascii="宋体" w:hAnsi="宋体" w:eastAsia="宋体" w:cs="宋体"/>
                <w:kern w:val="0"/>
                <w:sz w:val="21"/>
                <w:szCs w:val="21"/>
                <w:lang w:val="es-AR" w:bidi="ne-NP"/>
              </w:rPr>
              <w:t>培训</w:t>
            </w:r>
          </w:p>
        </w:tc>
        <w:tc>
          <w:tcPr>
            <w:tcW w:w="6521" w:type="dxa"/>
            <w:vAlign w:val="bottom"/>
          </w:tcPr>
          <w:p>
            <w:pPr>
              <w:widowControl/>
              <w:topLinePunct/>
              <w:autoSpaceDE w:val="0"/>
              <w:adjustRightInd w:val="0"/>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对全体使用人员进行</w:t>
            </w:r>
            <w:r>
              <w:rPr>
                <w:rFonts w:hint="eastAsia" w:ascii="宋体" w:hAnsi="宋体" w:eastAsia="宋体" w:cs="宋体"/>
                <w:kern w:val="0"/>
                <w:sz w:val="21"/>
                <w:szCs w:val="21"/>
                <w:u w:val="single"/>
              </w:rPr>
              <w:t>2</w:t>
            </w:r>
            <w:r>
              <w:rPr>
                <w:rFonts w:hint="eastAsia" w:ascii="宋体" w:hAnsi="宋体" w:eastAsia="宋体" w:cs="宋体"/>
                <w:kern w:val="0"/>
                <w:sz w:val="21"/>
                <w:szCs w:val="21"/>
              </w:rPr>
              <w:t>轮培训.</w:t>
            </w:r>
          </w:p>
        </w:tc>
      </w:tr>
    </w:tbl>
    <w:p>
      <w:pPr>
        <w:widowControl/>
        <w:topLinePunct/>
        <w:autoSpaceDE w:val="0"/>
        <w:adjustRightInd w:val="0"/>
        <w:spacing w:line="360" w:lineRule="auto"/>
        <w:jc w:val="left"/>
        <w:rPr>
          <w:rFonts w:ascii="宋体" w:hAnsi="宋体" w:eastAsia="宋体" w:cs="宋体"/>
          <w:szCs w:val="21"/>
        </w:rPr>
      </w:pPr>
      <w:r>
        <w:rPr>
          <w:rFonts w:hint="eastAsia" w:ascii="宋体" w:hAnsi="宋体" w:eastAsia="宋体" w:cs="Times New Roman"/>
          <w:b/>
          <w:szCs w:val="21"/>
        </w:rPr>
        <w:t>三、</w:t>
      </w:r>
      <w:r>
        <w:rPr>
          <w:rFonts w:hint="eastAsia" w:ascii="宋体" w:hAnsi="宋体" w:eastAsia="宋体" w:cs="宋体"/>
          <w:szCs w:val="21"/>
        </w:rPr>
        <w:t>软件功能及性能</w:t>
      </w:r>
    </w:p>
    <w:tbl>
      <w:tblPr>
        <w:tblStyle w:val="18"/>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843"/>
        <w:gridCol w:w="6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17"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ind w:left="108"/>
              <w:jc w:val="center"/>
              <w:rPr>
                <w:rFonts w:ascii="宋体" w:hAnsi="宋体" w:eastAsia="宋体" w:cs="宋体"/>
                <w:b/>
                <w:bCs/>
                <w:kern w:val="0"/>
                <w:szCs w:val="21"/>
                <w:lang w:bidi="ne-NP"/>
              </w:rPr>
            </w:pPr>
            <w:r>
              <w:rPr>
                <w:rFonts w:hint="eastAsia" w:ascii="宋体" w:hAnsi="宋体" w:eastAsia="宋体" w:cs="宋体"/>
                <w:b/>
                <w:bCs/>
                <w:kern w:val="0"/>
                <w:szCs w:val="21"/>
                <w:lang w:bidi="ne-NP"/>
              </w:rPr>
              <w:t>序号</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ind w:left="108"/>
              <w:jc w:val="center"/>
              <w:rPr>
                <w:rFonts w:ascii="宋体" w:hAnsi="宋体" w:eastAsia="宋体" w:cs="宋体"/>
                <w:b/>
                <w:bCs/>
                <w:kern w:val="0"/>
                <w:szCs w:val="21"/>
                <w:lang w:bidi="ne-NP"/>
              </w:rPr>
            </w:pPr>
            <w:r>
              <w:rPr>
                <w:rFonts w:hint="eastAsia" w:ascii="宋体" w:hAnsi="宋体" w:eastAsia="宋体" w:cs="宋体"/>
                <w:b/>
                <w:bCs/>
                <w:kern w:val="0"/>
                <w:szCs w:val="21"/>
                <w:lang w:bidi="ne-NP"/>
              </w:rPr>
              <w:t>功能/性能</w:t>
            </w:r>
          </w:p>
        </w:tc>
        <w:tc>
          <w:tcPr>
            <w:tcW w:w="6237"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ind w:left="108"/>
              <w:jc w:val="center"/>
              <w:rPr>
                <w:rFonts w:ascii="宋体" w:hAnsi="宋体" w:eastAsia="宋体" w:cs="宋体"/>
                <w:b/>
                <w:bCs/>
                <w:kern w:val="0"/>
                <w:szCs w:val="21"/>
                <w:lang w:bidi="ne-NP"/>
              </w:rPr>
            </w:pPr>
            <w:r>
              <w:rPr>
                <w:rFonts w:hint="eastAsia" w:ascii="宋体" w:hAnsi="宋体" w:eastAsia="宋体" w:cs="宋体"/>
                <w:b/>
                <w:bCs/>
                <w:kern w:val="0"/>
                <w:szCs w:val="21"/>
                <w:lang w:bidi="ne-NP"/>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897" w:type="dxa"/>
            <w:gridSpan w:val="3"/>
            <w:tcBorders>
              <w:top w:val="single" w:color="auto" w:sz="4" w:space="0"/>
              <w:left w:val="single" w:color="auto" w:sz="4" w:space="0"/>
              <w:right w:val="single" w:color="auto" w:sz="4" w:space="0"/>
            </w:tcBorders>
            <w:vAlign w:val="center"/>
          </w:tcPr>
          <w:p>
            <w:pPr>
              <w:widowControl/>
              <w:numPr>
                <w:ilvl w:val="0"/>
                <w:numId w:val="2"/>
              </w:numPr>
              <w:topLinePunct/>
              <w:autoSpaceDE w:val="0"/>
              <w:adjustRightInd w:val="0"/>
              <w:spacing w:line="360" w:lineRule="auto"/>
              <w:jc w:val="center"/>
              <w:rPr>
                <w:rFonts w:ascii="宋体" w:hAnsi="宋体" w:eastAsia="宋体" w:cs="宋体"/>
                <w:szCs w:val="21"/>
              </w:rPr>
            </w:pPr>
            <w:r>
              <w:rPr>
                <w:rFonts w:hint="eastAsia" w:ascii="宋体" w:hAnsi="宋体" w:eastAsia="宋体" w:cs="宋体"/>
                <w:szCs w:val="21"/>
              </w:rPr>
              <w:t>总体基础要求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numPr>
                <w:ilvl w:val="0"/>
                <w:numId w:val="3"/>
              </w:numPr>
              <w:topLinePunct/>
              <w:autoSpaceDE w:val="0"/>
              <w:adjustRightInd w:val="0"/>
              <w:spacing w:line="360" w:lineRule="auto"/>
              <w:jc w:val="right"/>
              <w:rPr>
                <w:rFonts w:ascii="宋体" w:hAnsi="宋体" w:eastAsia="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自主知识产权要求</w:t>
            </w:r>
          </w:p>
        </w:tc>
        <w:tc>
          <w:tcPr>
            <w:tcW w:w="6237"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具备临床实验室检验信息管理相关软件自主知识产权。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numPr>
                <w:ilvl w:val="0"/>
                <w:numId w:val="3"/>
              </w:numPr>
              <w:topLinePunct/>
              <w:autoSpaceDE w:val="0"/>
              <w:adjustRightInd w:val="0"/>
              <w:spacing w:line="360" w:lineRule="auto"/>
              <w:jc w:val="right"/>
              <w:rPr>
                <w:rFonts w:ascii="宋体" w:hAnsi="宋体" w:eastAsia="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延续性要求</w:t>
            </w:r>
          </w:p>
        </w:tc>
        <w:tc>
          <w:tcPr>
            <w:tcW w:w="6237"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w:t>
            </w:r>
            <w:r>
              <w:rPr>
                <w:rFonts w:ascii="宋体" w:hAnsi="宋体" w:eastAsia="宋体" w:cs="宋体"/>
                <w:szCs w:val="21"/>
              </w:rPr>
              <w:t>此次</w:t>
            </w:r>
            <w:r>
              <w:rPr>
                <w:rFonts w:hint="eastAsia" w:ascii="宋体" w:hAnsi="宋体" w:eastAsia="宋体" w:cs="宋体"/>
                <w:szCs w:val="21"/>
              </w:rPr>
              <w:t>文档</w:t>
            </w:r>
            <w:r>
              <w:rPr>
                <w:rFonts w:ascii="宋体" w:hAnsi="宋体" w:eastAsia="宋体" w:cs="宋体"/>
                <w:szCs w:val="21"/>
              </w:rPr>
              <w:t>管理要求</w:t>
            </w:r>
            <w:r>
              <w:rPr>
                <w:rFonts w:hint="eastAsia" w:ascii="宋体" w:hAnsi="宋体" w:eastAsia="宋体" w:cs="宋体"/>
                <w:szCs w:val="21"/>
              </w:rPr>
              <w:t>兼容医院现用的检验系统</w:t>
            </w:r>
            <w:r>
              <w:rPr>
                <w:rFonts w:ascii="宋体" w:hAnsi="宋体" w:eastAsia="宋体" w:cs="宋体"/>
                <w:szCs w:val="21"/>
              </w:rPr>
              <w:t>。</w:t>
            </w:r>
            <w:r>
              <w:rPr>
                <w:rFonts w:hint="eastAsia" w:ascii="宋体" w:hAnsi="宋体" w:eastAsia="宋体" w:cs="宋体"/>
                <w:szCs w:val="21"/>
              </w:rPr>
              <w:t>（需提供成功案例用户证明）并提供解决方案。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817" w:type="dxa"/>
            <w:tcBorders>
              <w:top w:val="single" w:color="auto" w:sz="4" w:space="0"/>
              <w:left w:val="single" w:color="auto" w:sz="4" w:space="0"/>
              <w:bottom w:val="single" w:color="auto" w:sz="4" w:space="0"/>
              <w:right w:val="single" w:color="auto" w:sz="4" w:space="0"/>
            </w:tcBorders>
          </w:tcPr>
          <w:p>
            <w:pPr>
              <w:widowControl/>
              <w:numPr>
                <w:ilvl w:val="0"/>
                <w:numId w:val="3"/>
              </w:numPr>
              <w:topLinePunct/>
              <w:autoSpaceDE w:val="0"/>
              <w:adjustRightInd w:val="0"/>
              <w:spacing w:line="360" w:lineRule="auto"/>
              <w:jc w:val="right"/>
              <w:rPr>
                <w:rFonts w:ascii="宋体" w:hAnsi="宋体" w:eastAsia="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标准符合性要求</w:t>
            </w:r>
          </w:p>
        </w:tc>
        <w:tc>
          <w:tcPr>
            <w:tcW w:w="6237"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a、LIS同时满足CAP实验室认可、ISO15189实验室认可相关标准要求；</w:t>
            </w:r>
          </w:p>
          <w:p>
            <w:pPr>
              <w:widowControl/>
              <w:topLinePunct/>
              <w:autoSpaceDE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b、满足三级医院评审标准；</w:t>
            </w:r>
          </w:p>
          <w:p>
            <w:pPr>
              <w:widowControl/>
              <w:topLinePunct/>
              <w:autoSpaceDE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c、满足质量管理体系文件的评审、体系文件的授权；</w:t>
            </w:r>
          </w:p>
          <w:p>
            <w:pPr>
              <w:widowControl/>
              <w:topLinePunct/>
              <w:autoSpaceDE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d、满足体系文件的控制（存档以及报废的修改记录，唯一标识号）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817" w:type="dxa"/>
            <w:tcBorders>
              <w:top w:val="single" w:color="auto" w:sz="4" w:space="0"/>
              <w:left w:val="single" w:color="auto" w:sz="4" w:space="0"/>
              <w:bottom w:val="single" w:color="auto" w:sz="4" w:space="0"/>
              <w:right w:val="single" w:color="auto" w:sz="4" w:space="0"/>
            </w:tcBorders>
          </w:tcPr>
          <w:p>
            <w:pPr>
              <w:widowControl/>
              <w:numPr>
                <w:ilvl w:val="0"/>
                <w:numId w:val="3"/>
              </w:numPr>
              <w:topLinePunct/>
              <w:autoSpaceDE w:val="0"/>
              <w:adjustRightInd w:val="0"/>
              <w:spacing w:line="360" w:lineRule="auto"/>
              <w:jc w:val="right"/>
              <w:rPr>
                <w:rFonts w:ascii="宋体" w:hAnsi="宋体" w:eastAsia="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数据库要求</w:t>
            </w:r>
          </w:p>
        </w:tc>
        <w:tc>
          <w:tcPr>
            <w:tcW w:w="6237"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同时支持Oracle、SQL数据库。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817" w:type="dxa"/>
            <w:tcBorders>
              <w:top w:val="single" w:color="auto" w:sz="4" w:space="0"/>
              <w:left w:val="single" w:color="auto" w:sz="4" w:space="0"/>
              <w:bottom w:val="single" w:color="auto" w:sz="4" w:space="0"/>
              <w:right w:val="single" w:color="auto" w:sz="4" w:space="0"/>
            </w:tcBorders>
          </w:tcPr>
          <w:p>
            <w:pPr>
              <w:widowControl/>
              <w:numPr>
                <w:ilvl w:val="0"/>
                <w:numId w:val="3"/>
              </w:numPr>
              <w:topLinePunct/>
              <w:autoSpaceDE w:val="0"/>
              <w:adjustRightInd w:val="0"/>
              <w:spacing w:line="360" w:lineRule="auto"/>
              <w:jc w:val="right"/>
              <w:rPr>
                <w:rFonts w:ascii="宋体" w:hAnsi="宋体" w:eastAsia="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环境部署要求</w:t>
            </w:r>
          </w:p>
        </w:tc>
        <w:tc>
          <w:tcPr>
            <w:tcW w:w="6237"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支持LINUX+ORACLE环境下部署系统数据库应用案例。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817" w:type="dxa"/>
            <w:tcBorders>
              <w:top w:val="single" w:color="auto" w:sz="4" w:space="0"/>
              <w:left w:val="single" w:color="auto" w:sz="4" w:space="0"/>
              <w:bottom w:val="single" w:color="auto" w:sz="4" w:space="0"/>
              <w:right w:val="single" w:color="auto" w:sz="4" w:space="0"/>
            </w:tcBorders>
          </w:tcPr>
          <w:p>
            <w:pPr>
              <w:widowControl/>
              <w:numPr>
                <w:ilvl w:val="0"/>
                <w:numId w:val="3"/>
              </w:numPr>
              <w:topLinePunct/>
              <w:autoSpaceDE w:val="0"/>
              <w:adjustRightInd w:val="0"/>
              <w:spacing w:line="360" w:lineRule="auto"/>
              <w:jc w:val="right"/>
              <w:rPr>
                <w:rFonts w:ascii="宋体" w:hAnsi="宋体" w:eastAsia="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系统架构要求</w:t>
            </w:r>
          </w:p>
        </w:tc>
        <w:tc>
          <w:tcPr>
            <w:tcW w:w="6237"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1)多层体系架构、前端B/S、C/S多种展现形式、方便部署；</w:t>
            </w:r>
          </w:p>
          <w:p>
            <w:pPr>
              <w:widowControl/>
              <w:topLinePunct/>
              <w:autoSpaceDE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2)模块设计，方便流程再造；</w:t>
            </w:r>
          </w:p>
          <w:p>
            <w:pPr>
              <w:widowControl/>
              <w:topLinePunct/>
              <w:autoSpaceDE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3)参数化设计，方便个性化设置。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4" w:hRule="exact"/>
        </w:trPr>
        <w:tc>
          <w:tcPr>
            <w:tcW w:w="817" w:type="dxa"/>
            <w:tcBorders>
              <w:top w:val="single" w:color="auto" w:sz="4" w:space="0"/>
              <w:left w:val="single" w:color="auto" w:sz="4" w:space="0"/>
              <w:bottom w:val="single" w:color="auto" w:sz="4" w:space="0"/>
              <w:right w:val="single" w:color="auto" w:sz="4" w:space="0"/>
            </w:tcBorders>
          </w:tcPr>
          <w:p>
            <w:pPr>
              <w:widowControl/>
              <w:numPr>
                <w:ilvl w:val="0"/>
                <w:numId w:val="3"/>
              </w:numPr>
              <w:topLinePunct/>
              <w:autoSpaceDE w:val="0"/>
              <w:adjustRightInd w:val="0"/>
              <w:spacing w:line="360" w:lineRule="auto"/>
              <w:jc w:val="right"/>
              <w:rPr>
                <w:rFonts w:ascii="宋体" w:hAnsi="宋体" w:eastAsia="宋体" w:cs="宋体"/>
                <w:szCs w:val="21"/>
              </w:rPr>
            </w:pPr>
          </w:p>
        </w:tc>
        <w:tc>
          <w:tcPr>
            <w:tcW w:w="1843" w:type="dxa"/>
            <w:tcBorders>
              <w:left w:val="single" w:color="auto" w:sz="4" w:space="0"/>
              <w:right w:val="single" w:color="auto" w:sz="4" w:space="0"/>
            </w:tcBorders>
            <w:vAlign w:val="center"/>
          </w:tcPr>
          <w:p>
            <w:pPr>
              <w:widowControl/>
              <w:topLinePunct/>
              <w:autoSpaceDE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系统管理结构</w:t>
            </w:r>
          </w:p>
        </w:tc>
        <w:tc>
          <w:tcPr>
            <w:tcW w:w="6237"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★系统架构能满足科室文档个性化管理。可以实现多医疗机构、多院区、多检验科室、多专业的分级模式。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exact"/>
        </w:trPr>
        <w:tc>
          <w:tcPr>
            <w:tcW w:w="8897" w:type="dxa"/>
            <w:gridSpan w:val="3"/>
            <w:tcBorders>
              <w:top w:val="single" w:color="auto" w:sz="4" w:space="0"/>
              <w:left w:val="single" w:color="auto" w:sz="4" w:space="0"/>
              <w:bottom w:val="single" w:color="auto" w:sz="4" w:space="0"/>
              <w:right w:val="single" w:color="auto" w:sz="4" w:space="0"/>
            </w:tcBorders>
            <w:vAlign w:val="center"/>
          </w:tcPr>
          <w:p>
            <w:pPr>
              <w:widowControl/>
              <w:numPr>
                <w:ilvl w:val="0"/>
                <w:numId w:val="2"/>
              </w:numPr>
              <w:topLinePunct/>
              <w:autoSpaceDE w:val="0"/>
              <w:adjustRightInd w:val="0"/>
              <w:spacing w:line="360" w:lineRule="auto"/>
              <w:jc w:val="center"/>
              <w:rPr>
                <w:rFonts w:ascii="宋体" w:hAnsi="宋体" w:eastAsia="宋体" w:cs="宋体"/>
                <w:kern w:val="0"/>
                <w:szCs w:val="21"/>
              </w:rPr>
            </w:pPr>
            <w:r>
              <w:rPr>
                <w:rFonts w:hint="eastAsia" w:ascii="宋体" w:hAnsi="宋体" w:eastAsia="宋体" w:cs="宋体"/>
                <w:szCs w:val="21"/>
              </w:rPr>
              <w:t>文档管理部分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exact"/>
        </w:trPr>
        <w:tc>
          <w:tcPr>
            <w:tcW w:w="817" w:type="dxa"/>
            <w:vMerge w:val="restart"/>
            <w:tcBorders>
              <w:top w:val="single" w:color="auto" w:sz="4" w:space="0"/>
              <w:left w:val="single" w:color="auto" w:sz="4" w:space="0"/>
              <w:right w:val="single" w:color="auto" w:sz="4" w:space="0"/>
            </w:tcBorders>
            <w:vAlign w:val="center"/>
          </w:tcPr>
          <w:p>
            <w:pPr>
              <w:widowControl/>
              <w:numPr>
                <w:ilvl w:val="0"/>
                <w:numId w:val="3"/>
              </w:numPr>
              <w:topLinePunct/>
              <w:autoSpaceDE w:val="0"/>
              <w:adjustRightInd w:val="0"/>
              <w:spacing w:line="360" w:lineRule="auto"/>
              <w:rPr>
                <w:rFonts w:ascii="宋体" w:hAnsi="宋体" w:eastAsia="宋体" w:cs="宋体"/>
                <w:szCs w:val="21"/>
              </w:rPr>
            </w:pPr>
          </w:p>
        </w:tc>
        <w:tc>
          <w:tcPr>
            <w:tcW w:w="1843" w:type="dxa"/>
            <w:vMerge w:val="restart"/>
            <w:tcBorders>
              <w:left w:val="single" w:color="auto" w:sz="4" w:space="0"/>
              <w:right w:val="single" w:color="auto" w:sz="4" w:space="0"/>
            </w:tcBorders>
            <w:vAlign w:val="center"/>
          </w:tcPr>
          <w:p>
            <w:pPr>
              <w:widowControl/>
              <w:topLinePunct/>
              <w:autoSpaceDE w:val="0"/>
              <w:adjustRightInd w:val="0"/>
              <w:jc w:val="left"/>
              <w:rPr>
                <w:rFonts w:ascii="宋体" w:hAnsi="宋体" w:eastAsia="宋体" w:cs="宋体"/>
                <w:kern w:val="0"/>
                <w:szCs w:val="21"/>
              </w:rPr>
            </w:pPr>
            <w:r>
              <w:rPr>
                <w:rFonts w:hint="eastAsia" w:ascii="宋体" w:hAnsi="宋体" w:eastAsia="宋体" w:cs="宋体"/>
                <w:kern w:val="0"/>
                <w:szCs w:val="21"/>
              </w:rPr>
              <w:t>实验室文档管理</w:t>
            </w:r>
          </w:p>
        </w:tc>
        <w:tc>
          <w:tcPr>
            <w:tcW w:w="6237"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jc w:val="left"/>
              <w:rPr>
                <w:rFonts w:ascii="宋体" w:hAnsi="宋体" w:eastAsia="宋体" w:cs="宋体"/>
                <w:kern w:val="0"/>
                <w:szCs w:val="21"/>
              </w:rPr>
            </w:pPr>
            <w:r>
              <w:rPr>
                <w:rFonts w:hint="eastAsia" w:ascii="宋体" w:hAnsi="宋体" w:eastAsia="宋体" w:cs="宋体"/>
                <w:szCs w:val="21"/>
              </w:rPr>
              <w:t>★</w:t>
            </w:r>
            <w:r>
              <w:rPr>
                <w:rFonts w:hint="eastAsia" w:ascii="宋体" w:hAnsi="宋体" w:eastAsia="宋体" w:cs="宋体"/>
                <w:kern w:val="0"/>
                <w:szCs w:val="21"/>
              </w:rPr>
              <w:t>依据ISO15189相关要求实现了对诸如项目操作规程、采集手册、服务手册、项目手册等临床实验室程序化文件按照体系-分类-文档-文件进行分级管理，并进行版本化控制；非体系文件电子化流程分类管理。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817" w:type="dxa"/>
            <w:vMerge w:val="continue"/>
            <w:tcBorders>
              <w:left w:val="single" w:color="auto" w:sz="4" w:space="0"/>
              <w:right w:val="single" w:color="auto" w:sz="4" w:space="0"/>
            </w:tcBorders>
            <w:vAlign w:val="center"/>
          </w:tcPr>
          <w:p>
            <w:pPr>
              <w:widowControl/>
              <w:numPr>
                <w:ilvl w:val="0"/>
                <w:numId w:val="3"/>
              </w:numPr>
              <w:topLinePunct/>
              <w:autoSpaceDE w:val="0"/>
              <w:adjustRightInd w:val="0"/>
              <w:spacing w:line="360" w:lineRule="auto"/>
              <w:rPr>
                <w:rFonts w:ascii="宋体" w:hAnsi="宋体" w:eastAsia="宋体" w:cs="宋体"/>
                <w:szCs w:val="21"/>
              </w:rPr>
            </w:pPr>
          </w:p>
        </w:tc>
        <w:tc>
          <w:tcPr>
            <w:tcW w:w="1843" w:type="dxa"/>
            <w:vMerge w:val="continue"/>
            <w:tcBorders>
              <w:left w:val="single" w:color="auto" w:sz="4" w:space="0"/>
              <w:right w:val="single" w:color="auto" w:sz="4" w:space="0"/>
            </w:tcBorders>
            <w:vAlign w:val="center"/>
          </w:tcPr>
          <w:p>
            <w:pPr>
              <w:widowControl/>
              <w:topLinePunct/>
              <w:autoSpaceDE w:val="0"/>
              <w:adjustRightInd w:val="0"/>
              <w:spacing w:line="360" w:lineRule="auto"/>
              <w:jc w:val="left"/>
              <w:rPr>
                <w:rFonts w:ascii="宋体" w:hAnsi="宋体" w:eastAsia="宋体" w:cs="宋体"/>
                <w:kern w:val="0"/>
                <w:szCs w:val="21"/>
              </w:rPr>
            </w:pPr>
          </w:p>
        </w:tc>
        <w:tc>
          <w:tcPr>
            <w:tcW w:w="6237"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文件格式涵盖了所有office文档、PDF文档、HTML文档、图片文档</w:t>
            </w:r>
          </w:p>
          <w:p>
            <w:pPr>
              <w:widowControl/>
              <w:topLinePunct/>
              <w:autoSpaceDE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音视频文件。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exact"/>
        </w:trPr>
        <w:tc>
          <w:tcPr>
            <w:tcW w:w="817" w:type="dxa"/>
            <w:vMerge w:val="continue"/>
            <w:tcBorders>
              <w:left w:val="single" w:color="auto" w:sz="4" w:space="0"/>
              <w:right w:val="single" w:color="auto" w:sz="4" w:space="0"/>
            </w:tcBorders>
            <w:vAlign w:val="center"/>
          </w:tcPr>
          <w:p>
            <w:pPr>
              <w:widowControl/>
              <w:numPr>
                <w:ilvl w:val="0"/>
                <w:numId w:val="3"/>
              </w:numPr>
              <w:topLinePunct/>
              <w:autoSpaceDE w:val="0"/>
              <w:adjustRightInd w:val="0"/>
              <w:spacing w:line="360" w:lineRule="auto"/>
              <w:rPr>
                <w:rFonts w:ascii="宋体" w:hAnsi="宋体" w:eastAsia="宋体" w:cs="宋体"/>
                <w:szCs w:val="21"/>
              </w:rPr>
            </w:pPr>
          </w:p>
        </w:tc>
        <w:tc>
          <w:tcPr>
            <w:tcW w:w="1843" w:type="dxa"/>
            <w:vMerge w:val="continue"/>
            <w:tcBorders>
              <w:left w:val="single" w:color="auto" w:sz="4" w:space="0"/>
              <w:right w:val="single" w:color="auto" w:sz="4" w:space="0"/>
            </w:tcBorders>
            <w:vAlign w:val="center"/>
          </w:tcPr>
          <w:p>
            <w:pPr>
              <w:widowControl/>
              <w:topLinePunct/>
              <w:autoSpaceDE w:val="0"/>
              <w:adjustRightInd w:val="0"/>
              <w:spacing w:line="360" w:lineRule="auto"/>
              <w:jc w:val="left"/>
              <w:rPr>
                <w:rFonts w:ascii="宋体" w:hAnsi="宋体" w:eastAsia="宋体" w:cs="宋体"/>
                <w:kern w:val="0"/>
                <w:szCs w:val="21"/>
              </w:rPr>
            </w:pPr>
          </w:p>
        </w:tc>
        <w:tc>
          <w:tcPr>
            <w:tcW w:w="6237"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jc w:val="left"/>
              <w:rPr>
                <w:rFonts w:ascii="宋体" w:hAnsi="宋体" w:eastAsia="宋体" w:cs="宋体"/>
                <w:kern w:val="0"/>
                <w:szCs w:val="21"/>
              </w:rPr>
            </w:pPr>
            <w:r>
              <w:rPr>
                <w:rFonts w:hint="eastAsia" w:ascii="宋体" w:hAnsi="宋体" w:eastAsia="宋体" w:cs="宋体"/>
                <w:szCs w:val="21"/>
              </w:rPr>
              <w:t>★</w:t>
            </w:r>
            <w:r>
              <w:rPr>
                <w:rFonts w:hint="eastAsia" w:ascii="宋体" w:hAnsi="宋体" w:eastAsia="宋体" w:cs="宋体"/>
                <w:kern w:val="0"/>
                <w:szCs w:val="21"/>
              </w:rPr>
              <w:t>支持文件上传、在线拍照、结构化数据模板下载后线下编辑，在线导入文件。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exact"/>
        </w:trPr>
        <w:tc>
          <w:tcPr>
            <w:tcW w:w="817" w:type="dxa"/>
            <w:vMerge w:val="continue"/>
            <w:tcBorders>
              <w:left w:val="single" w:color="auto" w:sz="4" w:space="0"/>
              <w:right w:val="single" w:color="auto" w:sz="4" w:space="0"/>
            </w:tcBorders>
            <w:vAlign w:val="center"/>
          </w:tcPr>
          <w:p>
            <w:pPr>
              <w:widowControl/>
              <w:numPr>
                <w:ilvl w:val="0"/>
                <w:numId w:val="3"/>
              </w:numPr>
              <w:topLinePunct/>
              <w:autoSpaceDE w:val="0"/>
              <w:adjustRightInd w:val="0"/>
              <w:spacing w:line="360" w:lineRule="auto"/>
              <w:rPr>
                <w:rFonts w:ascii="宋体" w:hAnsi="宋体" w:eastAsia="宋体" w:cs="宋体"/>
                <w:szCs w:val="21"/>
              </w:rPr>
            </w:pPr>
          </w:p>
        </w:tc>
        <w:tc>
          <w:tcPr>
            <w:tcW w:w="1843" w:type="dxa"/>
            <w:vMerge w:val="continue"/>
            <w:tcBorders>
              <w:left w:val="single" w:color="auto" w:sz="4" w:space="0"/>
              <w:right w:val="single" w:color="auto" w:sz="4" w:space="0"/>
            </w:tcBorders>
            <w:vAlign w:val="center"/>
          </w:tcPr>
          <w:p>
            <w:pPr>
              <w:widowControl/>
              <w:topLinePunct/>
              <w:autoSpaceDE w:val="0"/>
              <w:adjustRightInd w:val="0"/>
              <w:spacing w:line="360" w:lineRule="auto"/>
              <w:jc w:val="left"/>
              <w:rPr>
                <w:rFonts w:ascii="宋体" w:hAnsi="宋体" w:eastAsia="宋体" w:cs="宋体"/>
                <w:kern w:val="0"/>
                <w:szCs w:val="21"/>
              </w:rPr>
            </w:pPr>
          </w:p>
        </w:tc>
        <w:tc>
          <w:tcPr>
            <w:tcW w:w="6237"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jc w:val="left"/>
              <w:rPr>
                <w:rFonts w:ascii="宋体" w:hAnsi="宋体" w:eastAsia="宋体" w:cs="宋体"/>
                <w:kern w:val="0"/>
                <w:szCs w:val="21"/>
              </w:rPr>
            </w:pPr>
            <w:r>
              <w:rPr>
                <w:rFonts w:hint="eastAsia" w:ascii="宋体" w:hAnsi="宋体" w:eastAsia="宋体" w:cs="宋体"/>
                <w:szCs w:val="21"/>
              </w:rPr>
              <w:t>★</w:t>
            </w:r>
            <w:r>
              <w:rPr>
                <w:rFonts w:hint="eastAsia" w:ascii="宋体" w:hAnsi="宋体" w:eastAsia="宋体" w:cs="宋体"/>
                <w:kern w:val="0"/>
                <w:szCs w:val="21"/>
              </w:rPr>
              <w:t>内嵌office控件，实现文件office在线编辑，并具备修改痕迹自动记录功能。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817" w:type="dxa"/>
            <w:vMerge w:val="continue"/>
            <w:tcBorders>
              <w:left w:val="single" w:color="auto" w:sz="4" w:space="0"/>
              <w:right w:val="single" w:color="auto" w:sz="4" w:space="0"/>
            </w:tcBorders>
            <w:vAlign w:val="center"/>
          </w:tcPr>
          <w:p>
            <w:pPr>
              <w:widowControl/>
              <w:numPr>
                <w:ilvl w:val="0"/>
                <w:numId w:val="3"/>
              </w:numPr>
              <w:topLinePunct/>
              <w:autoSpaceDE w:val="0"/>
              <w:adjustRightInd w:val="0"/>
              <w:spacing w:line="360" w:lineRule="auto"/>
              <w:rPr>
                <w:rFonts w:ascii="宋体" w:hAnsi="宋体" w:eastAsia="宋体" w:cs="宋体"/>
                <w:szCs w:val="21"/>
              </w:rPr>
            </w:pPr>
          </w:p>
        </w:tc>
        <w:tc>
          <w:tcPr>
            <w:tcW w:w="1843" w:type="dxa"/>
            <w:vMerge w:val="continue"/>
            <w:tcBorders>
              <w:left w:val="single" w:color="auto" w:sz="4" w:space="0"/>
              <w:right w:val="single" w:color="auto" w:sz="4" w:space="0"/>
            </w:tcBorders>
            <w:vAlign w:val="center"/>
          </w:tcPr>
          <w:p>
            <w:pPr>
              <w:widowControl/>
              <w:topLinePunct/>
              <w:autoSpaceDE w:val="0"/>
              <w:adjustRightInd w:val="0"/>
              <w:spacing w:line="360" w:lineRule="auto"/>
              <w:jc w:val="left"/>
              <w:rPr>
                <w:rFonts w:ascii="宋体" w:hAnsi="宋体" w:eastAsia="宋体" w:cs="宋体"/>
                <w:kern w:val="0"/>
                <w:szCs w:val="21"/>
              </w:rPr>
            </w:pPr>
          </w:p>
        </w:tc>
        <w:tc>
          <w:tcPr>
            <w:tcW w:w="6237"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所有文件可以自定义电子审批流程，实现在线办公，具备待办事项提醒功能。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17" w:type="dxa"/>
            <w:vMerge w:val="continue"/>
            <w:tcBorders>
              <w:left w:val="single" w:color="auto" w:sz="4" w:space="0"/>
              <w:right w:val="single" w:color="auto" w:sz="4" w:space="0"/>
            </w:tcBorders>
            <w:vAlign w:val="center"/>
          </w:tcPr>
          <w:p>
            <w:pPr>
              <w:widowControl/>
              <w:numPr>
                <w:ilvl w:val="0"/>
                <w:numId w:val="3"/>
              </w:numPr>
              <w:topLinePunct/>
              <w:autoSpaceDE w:val="0"/>
              <w:adjustRightInd w:val="0"/>
              <w:spacing w:line="360" w:lineRule="auto"/>
              <w:rPr>
                <w:rFonts w:ascii="宋体" w:hAnsi="宋体" w:eastAsia="宋体" w:cs="宋体"/>
                <w:szCs w:val="21"/>
              </w:rPr>
            </w:pPr>
          </w:p>
        </w:tc>
        <w:tc>
          <w:tcPr>
            <w:tcW w:w="1843" w:type="dxa"/>
            <w:vMerge w:val="continue"/>
            <w:tcBorders>
              <w:left w:val="single" w:color="auto" w:sz="4" w:space="0"/>
              <w:right w:val="single" w:color="auto" w:sz="4" w:space="0"/>
            </w:tcBorders>
            <w:vAlign w:val="center"/>
          </w:tcPr>
          <w:p>
            <w:pPr>
              <w:widowControl/>
              <w:topLinePunct/>
              <w:autoSpaceDE w:val="0"/>
              <w:adjustRightInd w:val="0"/>
              <w:spacing w:line="360" w:lineRule="auto"/>
              <w:jc w:val="left"/>
              <w:rPr>
                <w:rFonts w:ascii="宋体" w:hAnsi="宋体" w:eastAsia="宋体" w:cs="宋体"/>
                <w:kern w:val="0"/>
                <w:szCs w:val="21"/>
              </w:rPr>
            </w:pPr>
          </w:p>
        </w:tc>
        <w:tc>
          <w:tcPr>
            <w:tcW w:w="6237"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用户自定义安全策略，融合电子签名、电子印章功能。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817" w:type="dxa"/>
            <w:vMerge w:val="continue"/>
            <w:tcBorders>
              <w:left w:val="single" w:color="auto" w:sz="4" w:space="0"/>
              <w:right w:val="single" w:color="auto" w:sz="4" w:space="0"/>
            </w:tcBorders>
            <w:vAlign w:val="center"/>
          </w:tcPr>
          <w:p>
            <w:pPr>
              <w:widowControl/>
              <w:numPr>
                <w:ilvl w:val="0"/>
                <w:numId w:val="3"/>
              </w:numPr>
              <w:topLinePunct/>
              <w:autoSpaceDE w:val="0"/>
              <w:adjustRightInd w:val="0"/>
              <w:spacing w:line="360" w:lineRule="auto"/>
              <w:rPr>
                <w:rFonts w:ascii="宋体" w:hAnsi="宋体" w:eastAsia="宋体" w:cs="宋体"/>
                <w:szCs w:val="21"/>
              </w:rPr>
            </w:pPr>
          </w:p>
        </w:tc>
        <w:tc>
          <w:tcPr>
            <w:tcW w:w="1843" w:type="dxa"/>
            <w:vMerge w:val="continue"/>
            <w:tcBorders>
              <w:left w:val="single" w:color="auto" w:sz="4" w:space="0"/>
              <w:right w:val="single" w:color="auto" w:sz="4" w:space="0"/>
            </w:tcBorders>
            <w:vAlign w:val="center"/>
          </w:tcPr>
          <w:p>
            <w:pPr>
              <w:widowControl/>
              <w:topLinePunct/>
              <w:autoSpaceDE w:val="0"/>
              <w:adjustRightInd w:val="0"/>
              <w:spacing w:line="360" w:lineRule="auto"/>
              <w:jc w:val="left"/>
              <w:rPr>
                <w:rFonts w:ascii="宋体" w:hAnsi="宋体" w:eastAsia="宋体" w:cs="宋体"/>
                <w:kern w:val="0"/>
                <w:szCs w:val="21"/>
              </w:rPr>
            </w:pPr>
          </w:p>
        </w:tc>
        <w:tc>
          <w:tcPr>
            <w:tcW w:w="6237"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具备发布、分发分级控制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trPr>
        <w:tc>
          <w:tcPr>
            <w:tcW w:w="817" w:type="dxa"/>
            <w:vMerge w:val="continue"/>
            <w:tcBorders>
              <w:left w:val="single" w:color="auto" w:sz="4" w:space="0"/>
              <w:right w:val="single" w:color="auto" w:sz="4" w:space="0"/>
            </w:tcBorders>
            <w:vAlign w:val="center"/>
          </w:tcPr>
          <w:p>
            <w:pPr>
              <w:widowControl/>
              <w:numPr>
                <w:ilvl w:val="0"/>
                <w:numId w:val="3"/>
              </w:numPr>
              <w:topLinePunct/>
              <w:autoSpaceDE w:val="0"/>
              <w:adjustRightInd w:val="0"/>
              <w:spacing w:line="360" w:lineRule="auto"/>
              <w:rPr>
                <w:rFonts w:ascii="宋体" w:hAnsi="宋体" w:eastAsia="宋体" w:cs="宋体"/>
                <w:szCs w:val="21"/>
              </w:rPr>
            </w:pPr>
          </w:p>
        </w:tc>
        <w:tc>
          <w:tcPr>
            <w:tcW w:w="1843" w:type="dxa"/>
            <w:vMerge w:val="continue"/>
            <w:tcBorders>
              <w:left w:val="single" w:color="auto" w:sz="4" w:space="0"/>
              <w:right w:val="single" w:color="auto" w:sz="4" w:space="0"/>
            </w:tcBorders>
            <w:vAlign w:val="center"/>
          </w:tcPr>
          <w:p>
            <w:pPr>
              <w:widowControl/>
              <w:topLinePunct/>
              <w:autoSpaceDE w:val="0"/>
              <w:adjustRightInd w:val="0"/>
              <w:spacing w:line="360" w:lineRule="auto"/>
              <w:jc w:val="left"/>
              <w:rPr>
                <w:rFonts w:ascii="宋体" w:hAnsi="宋体" w:eastAsia="宋体" w:cs="宋体"/>
                <w:kern w:val="0"/>
                <w:szCs w:val="21"/>
              </w:rPr>
            </w:pPr>
          </w:p>
        </w:tc>
        <w:tc>
          <w:tcPr>
            <w:tcW w:w="6237"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rPr>
                <w:rFonts w:ascii="宋体" w:hAnsi="宋体" w:eastAsia="宋体" w:cs="宋体"/>
                <w:kern w:val="0"/>
                <w:szCs w:val="21"/>
              </w:rPr>
            </w:pPr>
            <w:r>
              <w:rPr>
                <w:rFonts w:hint="eastAsia" w:ascii="宋体" w:hAnsi="宋体" w:eastAsia="宋体" w:cs="宋体"/>
                <w:kern w:val="0"/>
                <w:szCs w:val="21"/>
              </w:rPr>
              <w:t>具有词条定义功能实现关键词快速检索定位。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exact"/>
        </w:trPr>
        <w:tc>
          <w:tcPr>
            <w:tcW w:w="817" w:type="dxa"/>
            <w:vMerge w:val="continue"/>
            <w:tcBorders>
              <w:left w:val="single" w:color="auto" w:sz="4" w:space="0"/>
              <w:bottom w:val="single" w:color="auto" w:sz="4" w:space="0"/>
              <w:right w:val="single" w:color="auto" w:sz="4" w:space="0"/>
            </w:tcBorders>
            <w:vAlign w:val="center"/>
          </w:tcPr>
          <w:p>
            <w:pPr>
              <w:widowControl/>
              <w:numPr>
                <w:ilvl w:val="0"/>
                <w:numId w:val="3"/>
              </w:numPr>
              <w:topLinePunct/>
              <w:autoSpaceDE w:val="0"/>
              <w:adjustRightInd w:val="0"/>
              <w:spacing w:line="360" w:lineRule="auto"/>
              <w:rPr>
                <w:rFonts w:ascii="宋体" w:hAnsi="宋体" w:eastAsia="宋体" w:cs="宋体"/>
                <w:szCs w:val="21"/>
              </w:rPr>
            </w:pPr>
          </w:p>
        </w:tc>
        <w:tc>
          <w:tcPr>
            <w:tcW w:w="1843" w:type="dxa"/>
            <w:vMerge w:val="continue"/>
            <w:tcBorders>
              <w:left w:val="single" w:color="auto" w:sz="4" w:space="0"/>
              <w:right w:val="single" w:color="auto" w:sz="4" w:space="0"/>
            </w:tcBorders>
            <w:vAlign w:val="center"/>
          </w:tcPr>
          <w:p>
            <w:pPr>
              <w:widowControl/>
              <w:topLinePunct/>
              <w:autoSpaceDE w:val="0"/>
              <w:adjustRightInd w:val="0"/>
              <w:spacing w:line="360" w:lineRule="auto"/>
              <w:jc w:val="left"/>
              <w:rPr>
                <w:rFonts w:ascii="宋体" w:hAnsi="宋体" w:eastAsia="宋体" w:cs="宋体"/>
                <w:kern w:val="0"/>
                <w:szCs w:val="21"/>
              </w:rPr>
            </w:pPr>
          </w:p>
        </w:tc>
        <w:tc>
          <w:tcPr>
            <w:tcW w:w="6237"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以工作站、移动终端、互联网终端等多种方式实现在线浏览。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817" w:type="dxa"/>
            <w:vMerge w:val="restart"/>
            <w:tcBorders>
              <w:top w:val="single" w:color="auto" w:sz="4" w:space="0"/>
              <w:left w:val="single" w:color="auto" w:sz="4" w:space="0"/>
              <w:right w:val="single" w:color="auto" w:sz="4" w:space="0"/>
            </w:tcBorders>
            <w:vAlign w:val="center"/>
          </w:tcPr>
          <w:p>
            <w:pPr>
              <w:widowControl/>
              <w:numPr>
                <w:ilvl w:val="0"/>
                <w:numId w:val="3"/>
              </w:numPr>
              <w:topLinePunct/>
              <w:autoSpaceDE w:val="0"/>
              <w:adjustRightInd w:val="0"/>
              <w:spacing w:line="360" w:lineRule="auto"/>
              <w:rPr>
                <w:rFonts w:ascii="宋体" w:hAnsi="宋体" w:eastAsia="宋体" w:cs="宋体"/>
                <w:szCs w:val="21"/>
              </w:rPr>
            </w:pPr>
          </w:p>
        </w:tc>
        <w:tc>
          <w:tcPr>
            <w:tcW w:w="1843" w:type="dxa"/>
            <w:vMerge w:val="restart"/>
            <w:tcBorders>
              <w:left w:val="single" w:color="auto" w:sz="4" w:space="0"/>
              <w:right w:val="single" w:color="auto" w:sz="4" w:space="0"/>
            </w:tcBorders>
            <w:vAlign w:val="center"/>
          </w:tcPr>
          <w:p>
            <w:pPr>
              <w:widowControl/>
              <w:topLinePunct/>
              <w:autoSpaceDE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检验知识库管理系统</w:t>
            </w:r>
          </w:p>
        </w:tc>
        <w:tc>
          <w:tcPr>
            <w:tcW w:w="6237"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提供专业的知识库维护、管理及展现工具。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exact"/>
        </w:trPr>
        <w:tc>
          <w:tcPr>
            <w:tcW w:w="817" w:type="dxa"/>
            <w:vMerge w:val="continue"/>
            <w:tcBorders>
              <w:left w:val="single" w:color="auto" w:sz="4" w:space="0"/>
              <w:right w:val="single" w:color="auto" w:sz="4" w:space="0"/>
            </w:tcBorders>
            <w:vAlign w:val="center"/>
          </w:tcPr>
          <w:p>
            <w:pPr>
              <w:widowControl/>
              <w:numPr>
                <w:ilvl w:val="0"/>
                <w:numId w:val="3"/>
              </w:numPr>
              <w:topLinePunct/>
              <w:autoSpaceDE w:val="0"/>
              <w:adjustRightInd w:val="0"/>
              <w:spacing w:line="360" w:lineRule="auto"/>
              <w:rPr>
                <w:rFonts w:ascii="宋体" w:hAnsi="宋体" w:eastAsia="宋体" w:cs="宋体"/>
                <w:szCs w:val="21"/>
              </w:rPr>
            </w:pPr>
          </w:p>
        </w:tc>
        <w:tc>
          <w:tcPr>
            <w:tcW w:w="1843" w:type="dxa"/>
            <w:vMerge w:val="continue"/>
            <w:tcBorders>
              <w:left w:val="single" w:color="auto" w:sz="4" w:space="0"/>
              <w:right w:val="single" w:color="auto" w:sz="4" w:space="0"/>
            </w:tcBorders>
            <w:vAlign w:val="center"/>
          </w:tcPr>
          <w:p>
            <w:pPr>
              <w:widowControl/>
              <w:topLinePunct/>
              <w:autoSpaceDE w:val="0"/>
              <w:adjustRightInd w:val="0"/>
              <w:spacing w:line="360" w:lineRule="auto"/>
              <w:jc w:val="left"/>
              <w:rPr>
                <w:rFonts w:ascii="宋体" w:hAnsi="宋体" w:eastAsia="宋体" w:cs="宋体"/>
                <w:kern w:val="0"/>
                <w:szCs w:val="21"/>
              </w:rPr>
            </w:pPr>
          </w:p>
        </w:tc>
        <w:tc>
          <w:tcPr>
            <w:tcW w:w="6237"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同时支持对诊疗项目和分析项目的知识管理。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exact"/>
        </w:trPr>
        <w:tc>
          <w:tcPr>
            <w:tcW w:w="817" w:type="dxa"/>
            <w:vMerge w:val="continue"/>
            <w:tcBorders>
              <w:left w:val="single" w:color="auto" w:sz="4" w:space="0"/>
              <w:right w:val="single" w:color="auto" w:sz="4" w:space="0"/>
            </w:tcBorders>
            <w:vAlign w:val="center"/>
          </w:tcPr>
          <w:p>
            <w:pPr>
              <w:widowControl/>
              <w:numPr>
                <w:ilvl w:val="0"/>
                <w:numId w:val="3"/>
              </w:numPr>
              <w:topLinePunct/>
              <w:autoSpaceDE w:val="0"/>
              <w:adjustRightInd w:val="0"/>
              <w:spacing w:line="360" w:lineRule="auto"/>
              <w:rPr>
                <w:rFonts w:ascii="宋体" w:hAnsi="宋体" w:eastAsia="宋体" w:cs="宋体"/>
                <w:szCs w:val="21"/>
              </w:rPr>
            </w:pPr>
          </w:p>
        </w:tc>
        <w:tc>
          <w:tcPr>
            <w:tcW w:w="1843" w:type="dxa"/>
            <w:vMerge w:val="continue"/>
            <w:tcBorders>
              <w:left w:val="single" w:color="auto" w:sz="4" w:space="0"/>
              <w:right w:val="single" w:color="auto" w:sz="4" w:space="0"/>
            </w:tcBorders>
            <w:vAlign w:val="center"/>
          </w:tcPr>
          <w:p>
            <w:pPr>
              <w:widowControl/>
              <w:topLinePunct/>
              <w:autoSpaceDE w:val="0"/>
              <w:adjustRightInd w:val="0"/>
              <w:spacing w:line="360" w:lineRule="auto"/>
              <w:jc w:val="left"/>
              <w:rPr>
                <w:rFonts w:ascii="宋体" w:hAnsi="宋体" w:eastAsia="宋体" w:cs="宋体"/>
                <w:kern w:val="0"/>
                <w:szCs w:val="21"/>
              </w:rPr>
            </w:pPr>
          </w:p>
        </w:tc>
        <w:tc>
          <w:tcPr>
            <w:tcW w:w="6237"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同时支持常规检验、生化、免疫、分子、微生物检验等知识结构。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exact"/>
        </w:trPr>
        <w:tc>
          <w:tcPr>
            <w:tcW w:w="817" w:type="dxa"/>
            <w:vMerge w:val="continue"/>
            <w:tcBorders>
              <w:left w:val="single" w:color="auto" w:sz="4" w:space="0"/>
              <w:right w:val="single" w:color="auto" w:sz="4" w:space="0"/>
            </w:tcBorders>
            <w:vAlign w:val="center"/>
          </w:tcPr>
          <w:p>
            <w:pPr>
              <w:widowControl/>
              <w:numPr>
                <w:ilvl w:val="0"/>
                <w:numId w:val="3"/>
              </w:numPr>
              <w:topLinePunct/>
              <w:autoSpaceDE w:val="0"/>
              <w:adjustRightInd w:val="0"/>
              <w:spacing w:line="360" w:lineRule="auto"/>
              <w:rPr>
                <w:rFonts w:ascii="宋体" w:hAnsi="宋体" w:eastAsia="宋体" w:cs="宋体"/>
                <w:szCs w:val="21"/>
              </w:rPr>
            </w:pPr>
          </w:p>
        </w:tc>
        <w:tc>
          <w:tcPr>
            <w:tcW w:w="1843" w:type="dxa"/>
            <w:vMerge w:val="continue"/>
            <w:tcBorders>
              <w:left w:val="single" w:color="auto" w:sz="4" w:space="0"/>
              <w:right w:val="single" w:color="auto" w:sz="4" w:space="0"/>
            </w:tcBorders>
            <w:vAlign w:val="center"/>
          </w:tcPr>
          <w:p>
            <w:pPr>
              <w:widowControl/>
              <w:topLinePunct/>
              <w:autoSpaceDE w:val="0"/>
              <w:adjustRightInd w:val="0"/>
              <w:spacing w:line="360" w:lineRule="auto"/>
              <w:jc w:val="left"/>
              <w:rPr>
                <w:rFonts w:ascii="宋体" w:hAnsi="宋体" w:eastAsia="宋体" w:cs="宋体"/>
                <w:kern w:val="0"/>
                <w:szCs w:val="21"/>
              </w:rPr>
            </w:pPr>
          </w:p>
        </w:tc>
        <w:tc>
          <w:tcPr>
            <w:tcW w:w="6237"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支持关联项目的知识合并维护及知识合并浏览应用。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trPr>
        <w:tc>
          <w:tcPr>
            <w:tcW w:w="817" w:type="dxa"/>
            <w:vMerge w:val="continue"/>
            <w:tcBorders>
              <w:left w:val="single" w:color="auto" w:sz="4" w:space="0"/>
              <w:right w:val="single" w:color="auto" w:sz="4" w:space="0"/>
            </w:tcBorders>
            <w:vAlign w:val="center"/>
          </w:tcPr>
          <w:p>
            <w:pPr>
              <w:widowControl/>
              <w:numPr>
                <w:ilvl w:val="0"/>
                <w:numId w:val="3"/>
              </w:numPr>
              <w:topLinePunct/>
              <w:autoSpaceDE w:val="0"/>
              <w:adjustRightInd w:val="0"/>
              <w:spacing w:line="360" w:lineRule="auto"/>
              <w:rPr>
                <w:rFonts w:ascii="宋体" w:hAnsi="宋体" w:eastAsia="宋体" w:cs="宋体"/>
                <w:szCs w:val="21"/>
              </w:rPr>
            </w:pPr>
          </w:p>
        </w:tc>
        <w:tc>
          <w:tcPr>
            <w:tcW w:w="1843" w:type="dxa"/>
            <w:vMerge w:val="continue"/>
            <w:tcBorders>
              <w:left w:val="single" w:color="auto" w:sz="4" w:space="0"/>
              <w:right w:val="single" w:color="auto" w:sz="4" w:space="0"/>
            </w:tcBorders>
            <w:vAlign w:val="center"/>
          </w:tcPr>
          <w:p>
            <w:pPr>
              <w:widowControl/>
              <w:topLinePunct/>
              <w:autoSpaceDE w:val="0"/>
              <w:adjustRightInd w:val="0"/>
              <w:spacing w:line="360" w:lineRule="auto"/>
              <w:jc w:val="left"/>
              <w:rPr>
                <w:rFonts w:ascii="宋体" w:hAnsi="宋体" w:eastAsia="宋体" w:cs="宋体"/>
                <w:kern w:val="0"/>
                <w:szCs w:val="21"/>
              </w:rPr>
            </w:pPr>
          </w:p>
        </w:tc>
        <w:tc>
          <w:tcPr>
            <w:tcW w:w="6237"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支持知识条目化管理。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trPr>
        <w:tc>
          <w:tcPr>
            <w:tcW w:w="817" w:type="dxa"/>
            <w:vMerge w:val="continue"/>
            <w:tcBorders>
              <w:left w:val="single" w:color="auto" w:sz="4" w:space="0"/>
              <w:right w:val="single" w:color="auto" w:sz="4" w:space="0"/>
            </w:tcBorders>
            <w:vAlign w:val="center"/>
          </w:tcPr>
          <w:p>
            <w:pPr>
              <w:widowControl/>
              <w:numPr>
                <w:ilvl w:val="0"/>
                <w:numId w:val="3"/>
              </w:numPr>
              <w:topLinePunct/>
              <w:autoSpaceDE w:val="0"/>
              <w:adjustRightInd w:val="0"/>
              <w:spacing w:line="360" w:lineRule="auto"/>
              <w:rPr>
                <w:rFonts w:ascii="宋体" w:hAnsi="宋体" w:eastAsia="宋体" w:cs="宋体"/>
                <w:szCs w:val="21"/>
              </w:rPr>
            </w:pPr>
          </w:p>
        </w:tc>
        <w:tc>
          <w:tcPr>
            <w:tcW w:w="1843" w:type="dxa"/>
            <w:vMerge w:val="continue"/>
            <w:tcBorders>
              <w:left w:val="single" w:color="auto" w:sz="4" w:space="0"/>
              <w:right w:val="single" w:color="auto" w:sz="4" w:space="0"/>
            </w:tcBorders>
            <w:vAlign w:val="center"/>
          </w:tcPr>
          <w:p>
            <w:pPr>
              <w:widowControl/>
              <w:topLinePunct/>
              <w:autoSpaceDE w:val="0"/>
              <w:adjustRightInd w:val="0"/>
              <w:spacing w:line="360" w:lineRule="auto"/>
              <w:jc w:val="left"/>
              <w:rPr>
                <w:rFonts w:ascii="宋体" w:hAnsi="宋体" w:eastAsia="宋体" w:cs="宋体"/>
                <w:kern w:val="0"/>
                <w:szCs w:val="21"/>
              </w:rPr>
            </w:pPr>
          </w:p>
        </w:tc>
        <w:tc>
          <w:tcPr>
            <w:tcW w:w="6237"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jc w:val="left"/>
              <w:rPr>
                <w:rFonts w:ascii="宋体" w:hAnsi="宋体" w:eastAsia="宋体" w:cs="宋体"/>
                <w:kern w:val="0"/>
                <w:szCs w:val="21"/>
              </w:rPr>
            </w:pPr>
            <w:r>
              <w:rPr>
                <w:rFonts w:hint="eastAsia" w:ascii="宋体" w:hAnsi="宋体" w:eastAsia="宋体" w:cs="宋体"/>
                <w:szCs w:val="21"/>
              </w:rPr>
              <w:t>结构化知识不低于50%，条目化知识不低于30%。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exact"/>
        </w:trPr>
        <w:tc>
          <w:tcPr>
            <w:tcW w:w="817" w:type="dxa"/>
            <w:vMerge w:val="continue"/>
            <w:tcBorders>
              <w:left w:val="single" w:color="auto" w:sz="4" w:space="0"/>
              <w:right w:val="single" w:color="auto" w:sz="4" w:space="0"/>
            </w:tcBorders>
            <w:vAlign w:val="center"/>
          </w:tcPr>
          <w:p>
            <w:pPr>
              <w:widowControl/>
              <w:numPr>
                <w:ilvl w:val="0"/>
                <w:numId w:val="3"/>
              </w:numPr>
              <w:topLinePunct/>
              <w:autoSpaceDE w:val="0"/>
              <w:adjustRightInd w:val="0"/>
              <w:spacing w:line="360" w:lineRule="auto"/>
              <w:rPr>
                <w:rFonts w:ascii="宋体" w:hAnsi="宋体" w:eastAsia="宋体" w:cs="宋体"/>
                <w:szCs w:val="21"/>
              </w:rPr>
            </w:pPr>
          </w:p>
        </w:tc>
        <w:tc>
          <w:tcPr>
            <w:tcW w:w="1843" w:type="dxa"/>
            <w:vMerge w:val="continue"/>
            <w:tcBorders>
              <w:left w:val="single" w:color="auto" w:sz="4" w:space="0"/>
              <w:right w:val="single" w:color="auto" w:sz="4" w:space="0"/>
            </w:tcBorders>
            <w:vAlign w:val="center"/>
          </w:tcPr>
          <w:p>
            <w:pPr>
              <w:widowControl/>
              <w:topLinePunct/>
              <w:autoSpaceDE w:val="0"/>
              <w:adjustRightInd w:val="0"/>
              <w:spacing w:line="360" w:lineRule="auto"/>
              <w:jc w:val="left"/>
              <w:rPr>
                <w:rFonts w:ascii="宋体" w:hAnsi="宋体" w:eastAsia="宋体" w:cs="宋体"/>
                <w:kern w:val="0"/>
                <w:szCs w:val="21"/>
              </w:rPr>
            </w:pPr>
          </w:p>
        </w:tc>
        <w:tc>
          <w:tcPr>
            <w:tcW w:w="6237"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jc w:val="left"/>
              <w:rPr>
                <w:rFonts w:ascii="宋体" w:hAnsi="宋体" w:eastAsia="宋体" w:cs="宋体"/>
                <w:kern w:val="0"/>
                <w:szCs w:val="21"/>
              </w:rPr>
            </w:pPr>
            <w:r>
              <w:rPr>
                <w:rFonts w:hint="eastAsia" w:ascii="宋体" w:hAnsi="宋体" w:eastAsia="宋体" w:cs="宋体"/>
                <w:szCs w:val="21"/>
              </w:rPr>
              <w:t>★</w:t>
            </w:r>
            <w:r>
              <w:rPr>
                <w:rFonts w:hint="eastAsia" w:ascii="宋体" w:hAnsi="宋体" w:eastAsia="宋体" w:cs="宋体"/>
                <w:kern w:val="0"/>
                <w:szCs w:val="21"/>
              </w:rPr>
              <w:t>支持用户自定义知识节点，并对知识节点按照服务字典、项目明细、检验申请、检测仪器、检测参数、样本采存、影响因素、拒收原因、疾病体征进行分类管理。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exact"/>
        </w:trPr>
        <w:tc>
          <w:tcPr>
            <w:tcW w:w="817" w:type="dxa"/>
            <w:vMerge w:val="continue"/>
            <w:tcBorders>
              <w:left w:val="single" w:color="auto" w:sz="4" w:space="0"/>
              <w:right w:val="single" w:color="auto" w:sz="4" w:space="0"/>
            </w:tcBorders>
            <w:vAlign w:val="center"/>
          </w:tcPr>
          <w:p>
            <w:pPr>
              <w:widowControl/>
              <w:numPr>
                <w:ilvl w:val="0"/>
                <w:numId w:val="3"/>
              </w:numPr>
              <w:topLinePunct/>
              <w:autoSpaceDE w:val="0"/>
              <w:adjustRightInd w:val="0"/>
              <w:spacing w:line="360" w:lineRule="auto"/>
              <w:rPr>
                <w:rFonts w:ascii="宋体" w:hAnsi="宋体" w:eastAsia="宋体" w:cs="宋体"/>
                <w:szCs w:val="21"/>
              </w:rPr>
            </w:pPr>
          </w:p>
        </w:tc>
        <w:tc>
          <w:tcPr>
            <w:tcW w:w="1843" w:type="dxa"/>
            <w:vMerge w:val="continue"/>
            <w:tcBorders>
              <w:left w:val="single" w:color="auto" w:sz="4" w:space="0"/>
              <w:right w:val="single" w:color="auto" w:sz="4" w:space="0"/>
            </w:tcBorders>
            <w:vAlign w:val="center"/>
          </w:tcPr>
          <w:p>
            <w:pPr>
              <w:widowControl/>
              <w:topLinePunct/>
              <w:autoSpaceDE w:val="0"/>
              <w:adjustRightInd w:val="0"/>
              <w:spacing w:line="360" w:lineRule="auto"/>
              <w:jc w:val="left"/>
              <w:rPr>
                <w:rFonts w:ascii="宋体" w:hAnsi="宋体" w:eastAsia="宋体" w:cs="宋体"/>
                <w:kern w:val="0"/>
                <w:szCs w:val="21"/>
              </w:rPr>
            </w:pPr>
          </w:p>
        </w:tc>
        <w:tc>
          <w:tcPr>
            <w:tcW w:w="6237"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支持富文本在线编辑功能。（至少支持以下文件格式：WORD、PDF、JPEG、PPT、EXCEL、文本等）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exact"/>
        </w:trPr>
        <w:tc>
          <w:tcPr>
            <w:tcW w:w="817" w:type="dxa"/>
            <w:vMerge w:val="continue"/>
            <w:tcBorders>
              <w:left w:val="single" w:color="auto" w:sz="4" w:space="0"/>
              <w:right w:val="single" w:color="auto" w:sz="4" w:space="0"/>
            </w:tcBorders>
            <w:vAlign w:val="center"/>
          </w:tcPr>
          <w:p>
            <w:pPr>
              <w:widowControl/>
              <w:numPr>
                <w:ilvl w:val="0"/>
                <w:numId w:val="3"/>
              </w:numPr>
              <w:topLinePunct/>
              <w:autoSpaceDE w:val="0"/>
              <w:adjustRightInd w:val="0"/>
              <w:spacing w:line="360" w:lineRule="auto"/>
              <w:rPr>
                <w:rFonts w:ascii="宋体" w:hAnsi="宋体" w:eastAsia="宋体" w:cs="宋体"/>
                <w:szCs w:val="21"/>
              </w:rPr>
            </w:pPr>
          </w:p>
        </w:tc>
        <w:tc>
          <w:tcPr>
            <w:tcW w:w="1843" w:type="dxa"/>
            <w:vMerge w:val="continue"/>
            <w:tcBorders>
              <w:left w:val="single" w:color="auto" w:sz="4" w:space="0"/>
              <w:right w:val="single" w:color="auto" w:sz="4" w:space="0"/>
            </w:tcBorders>
            <w:vAlign w:val="center"/>
          </w:tcPr>
          <w:p>
            <w:pPr>
              <w:widowControl/>
              <w:topLinePunct/>
              <w:autoSpaceDE w:val="0"/>
              <w:adjustRightInd w:val="0"/>
              <w:spacing w:line="360" w:lineRule="auto"/>
              <w:jc w:val="left"/>
              <w:rPr>
                <w:rFonts w:ascii="宋体" w:hAnsi="宋体" w:eastAsia="宋体" w:cs="宋体"/>
                <w:kern w:val="0"/>
                <w:szCs w:val="21"/>
              </w:rPr>
            </w:pPr>
          </w:p>
        </w:tc>
        <w:tc>
          <w:tcPr>
            <w:tcW w:w="6237"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支持知识准备的分级审核审批。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trPr>
        <w:tc>
          <w:tcPr>
            <w:tcW w:w="817" w:type="dxa"/>
            <w:vMerge w:val="continue"/>
            <w:tcBorders>
              <w:left w:val="single" w:color="auto" w:sz="4" w:space="0"/>
              <w:right w:val="single" w:color="auto" w:sz="4" w:space="0"/>
            </w:tcBorders>
            <w:vAlign w:val="center"/>
          </w:tcPr>
          <w:p>
            <w:pPr>
              <w:widowControl/>
              <w:numPr>
                <w:ilvl w:val="0"/>
                <w:numId w:val="3"/>
              </w:numPr>
              <w:topLinePunct/>
              <w:autoSpaceDE w:val="0"/>
              <w:adjustRightInd w:val="0"/>
              <w:spacing w:line="360" w:lineRule="auto"/>
              <w:rPr>
                <w:rFonts w:ascii="宋体" w:hAnsi="宋体" w:eastAsia="宋体" w:cs="宋体"/>
                <w:szCs w:val="21"/>
              </w:rPr>
            </w:pPr>
          </w:p>
        </w:tc>
        <w:tc>
          <w:tcPr>
            <w:tcW w:w="1843" w:type="dxa"/>
            <w:vMerge w:val="continue"/>
            <w:tcBorders>
              <w:left w:val="single" w:color="auto" w:sz="4" w:space="0"/>
              <w:right w:val="single" w:color="auto" w:sz="4" w:space="0"/>
            </w:tcBorders>
            <w:vAlign w:val="center"/>
          </w:tcPr>
          <w:p>
            <w:pPr>
              <w:widowControl/>
              <w:topLinePunct/>
              <w:autoSpaceDE w:val="0"/>
              <w:adjustRightInd w:val="0"/>
              <w:spacing w:line="360" w:lineRule="auto"/>
              <w:jc w:val="left"/>
              <w:rPr>
                <w:rFonts w:ascii="宋体" w:hAnsi="宋体" w:eastAsia="宋体" w:cs="宋体"/>
                <w:kern w:val="0"/>
                <w:szCs w:val="21"/>
              </w:rPr>
            </w:pPr>
          </w:p>
        </w:tc>
        <w:tc>
          <w:tcPr>
            <w:tcW w:w="6237"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支持词条检索功能。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817" w:type="dxa"/>
            <w:vMerge w:val="continue"/>
            <w:tcBorders>
              <w:left w:val="single" w:color="auto" w:sz="4" w:space="0"/>
              <w:right w:val="single" w:color="auto" w:sz="4" w:space="0"/>
            </w:tcBorders>
            <w:vAlign w:val="center"/>
          </w:tcPr>
          <w:p>
            <w:pPr>
              <w:widowControl/>
              <w:numPr>
                <w:ilvl w:val="0"/>
                <w:numId w:val="3"/>
              </w:numPr>
              <w:topLinePunct/>
              <w:autoSpaceDE w:val="0"/>
              <w:adjustRightInd w:val="0"/>
              <w:spacing w:line="360" w:lineRule="auto"/>
              <w:rPr>
                <w:rFonts w:ascii="宋体" w:hAnsi="宋体" w:eastAsia="宋体" w:cs="宋体"/>
                <w:szCs w:val="21"/>
              </w:rPr>
            </w:pPr>
          </w:p>
        </w:tc>
        <w:tc>
          <w:tcPr>
            <w:tcW w:w="1843" w:type="dxa"/>
            <w:vMerge w:val="continue"/>
            <w:tcBorders>
              <w:left w:val="single" w:color="auto" w:sz="4" w:space="0"/>
              <w:right w:val="single" w:color="auto" w:sz="4" w:space="0"/>
            </w:tcBorders>
            <w:vAlign w:val="center"/>
          </w:tcPr>
          <w:p>
            <w:pPr>
              <w:widowControl/>
              <w:topLinePunct/>
              <w:autoSpaceDE w:val="0"/>
              <w:adjustRightInd w:val="0"/>
              <w:spacing w:line="360" w:lineRule="auto"/>
              <w:jc w:val="left"/>
              <w:rPr>
                <w:rFonts w:ascii="宋体" w:hAnsi="宋体" w:eastAsia="宋体" w:cs="宋体"/>
                <w:kern w:val="0"/>
                <w:szCs w:val="21"/>
              </w:rPr>
            </w:pPr>
          </w:p>
        </w:tc>
        <w:tc>
          <w:tcPr>
            <w:tcW w:w="6237"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提供专业的知识库浏览工具，可以根据不同的业务场景自定义知识节点；支持分类浏览以及模糊查询。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817" w:type="dxa"/>
            <w:vMerge w:val="continue"/>
            <w:tcBorders>
              <w:left w:val="single" w:color="auto" w:sz="4" w:space="0"/>
              <w:bottom w:val="single" w:color="auto" w:sz="4" w:space="0"/>
              <w:right w:val="single" w:color="auto" w:sz="4" w:space="0"/>
            </w:tcBorders>
            <w:vAlign w:val="center"/>
          </w:tcPr>
          <w:p>
            <w:pPr>
              <w:widowControl/>
              <w:numPr>
                <w:ilvl w:val="0"/>
                <w:numId w:val="3"/>
              </w:numPr>
              <w:topLinePunct/>
              <w:autoSpaceDE w:val="0"/>
              <w:adjustRightInd w:val="0"/>
              <w:spacing w:line="360" w:lineRule="auto"/>
              <w:rPr>
                <w:rFonts w:ascii="宋体" w:hAnsi="宋体" w:eastAsia="宋体" w:cs="宋体"/>
                <w:szCs w:val="21"/>
              </w:rPr>
            </w:pPr>
          </w:p>
        </w:tc>
        <w:tc>
          <w:tcPr>
            <w:tcW w:w="1843" w:type="dxa"/>
            <w:vMerge w:val="continue"/>
            <w:tcBorders>
              <w:left w:val="single" w:color="auto" w:sz="4" w:space="0"/>
              <w:right w:val="single" w:color="auto" w:sz="4" w:space="0"/>
            </w:tcBorders>
            <w:vAlign w:val="center"/>
          </w:tcPr>
          <w:p>
            <w:pPr>
              <w:widowControl/>
              <w:topLinePunct/>
              <w:autoSpaceDE w:val="0"/>
              <w:adjustRightInd w:val="0"/>
              <w:spacing w:line="360" w:lineRule="auto"/>
              <w:jc w:val="left"/>
              <w:rPr>
                <w:rFonts w:ascii="宋体" w:hAnsi="宋体" w:eastAsia="宋体" w:cs="宋体"/>
                <w:kern w:val="0"/>
                <w:szCs w:val="21"/>
              </w:rPr>
            </w:pPr>
          </w:p>
        </w:tc>
        <w:tc>
          <w:tcPr>
            <w:tcW w:w="6237"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jc w:val="left"/>
              <w:rPr>
                <w:rFonts w:ascii="宋体" w:hAnsi="宋体" w:eastAsia="宋体" w:cs="宋体"/>
                <w:kern w:val="0"/>
                <w:szCs w:val="21"/>
                <w:lang w:val="es-AR"/>
              </w:rPr>
            </w:pPr>
            <w:r>
              <w:rPr>
                <w:rFonts w:hint="eastAsia" w:ascii="宋体" w:hAnsi="宋体" w:eastAsia="宋体" w:cs="宋体"/>
                <w:kern w:val="0"/>
                <w:szCs w:val="21"/>
              </w:rPr>
              <w:t>提供知识库第三方系统数据集成接口。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817" w:type="dxa"/>
            <w:vMerge w:val="restart"/>
            <w:tcBorders>
              <w:top w:val="single" w:color="auto" w:sz="4" w:space="0"/>
              <w:left w:val="single" w:color="auto" w:sz="4" w:space="0"/>
              <w:right w:val="single" w:color="auto" w:sz="4" w:space="0"/>
            </w:tcBorders>
            <w:vAlign w:val="center"/>
          </w:tcPr>
          <w:p>
            <w:pPr>
              <w:widowControl/>
              <w:numPr>
                <w:ilvl w:val="0"/>
                <w:numId w:val="3"/>
              </w:numPr>
              <w:topLinePunct/>
              <w:autoSpaceDE w:val="0"/>
              <w:adjustRightInd w:val="0"/>
              <w:spacing w:line="360" w:lineRule="auto"/>
              <w:rPr>
                <w:rFonts w:ascii="宋体" w:hAnsi="宋体" w:eastAsia="宋体" w:cs="宋体"/>
                <w:szCs w:val="21"/>
              </w:rPr>
            </w:pPr>
          </w:p>
        </w:tc>
        <w:tc>
          <w:tcPr>
            <w:tcW w:w="1843" w:type="dxa"/>
            <w:vMerge w:val="restart"/>
            <w:tcBorders>
              <w:left w:val="single" w:color="auto" w:sz="4" w:space="0"/>
              <w:right w:val="single" w:color="auto" w:sz="4" w:space="0"/>
            </w:tcBorders>
            <w:vAlign w:val="center"/>
          </w:tcPr>
          <w:p>
            <w:pPr>
              <w:widowControl/>
              <w:topLinePunct/>
              <w:autoSpaceDE w:val="0"/>
              <w:adjustRightInd w:val="0"/>
              <w:jc w:val="left"/>
              <w:rPr>
                <w:rFonts w:ascii="宋体" w:hAnsi="宋体" w:eastAsia="宋体" w:cs="宋体"/>
                <w:kern w:val="0"/>
                <w:szCs w:val="21"/>
              </w:rPr>
            </w:pPr>
            <w:r>
              <w:rPr>
                <w:rFonts w:hint="eastAsia" w:ascii="宋体" w:hAnsi="宋体" w:eastAsia="宋体" w:cs="宋体"/>
                <w:kern w:val="0"/>
                <w:szCs w:val="21"/>
              </w:rPr>
              <w:t>实验室档案中心</w:t>
            </w:r>
          </w:p>
        </w:tc>
        <w:tc>
          <w:tcPr>
            <w:tcW w:w="6237"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jc w:val="left"/>
              <w:rPr>
                <w:rFonts w:ascii="宋体" w:hAnsi="宋体" w:eastAsia="宋体" w:cs="宋体"/>
                <w:kern w:val="0"/>
                <w:szCs w:val="21"/>
                <w:lang w:val="es-AR"/>
              </w:rPr>
            </w:pPr>
            <w:r>
              <w:rPr>
                <w:rFonts w:hint="eastAsia" w:ascii="宋体" w:hAnsi="宋体" w:eastAsia="宋体" w:cs="宋体"/>
                <w:kern w:val="0"/>
                <w:szCs w:val="21"/>
              </w:rPr>
              <w:t>按照ISO15189体系要求，对实验室人机料法环样测等管理活动中所产生的档案实现了集中统一管理，并能够按照管理主体和分类进行档案查询、浏览和打印。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817" w:type="dxa"/>
            <w:vMerge w:val="continue"/>
            <w:tcBorders>
              <w:left w:val="single" w:color="auto" w:sz="4" w:space="0"/>
              <w:right w:val="single" w:color="auto" w:sz="4" w:space="0"/>
            </w:tcBorders>
            <w:vAlign w:val="center"/>
          </w:tcPr>
          <w:p>
            <w:pPr>
              <w:widowControl/>
              <w:numPr>
                <w:ilvl w:val="0"/>
                <w:numId w:val="3"/>
              </w:numPr>
              <w:topLinePunct/>
              <w:autoSpaceDE w:val="0"/>
              <w:adjustRightInd w:val="0"/>
              <w:spacing w:line="360" w:lineRule="auto"/>
              <w:rPr>
                <w:rFonts w:ascii="宋体" w:hAnsi="宋体" w:eastAsia="宋体" w:cs="宋体"/>
                <w:szCs w:val="21"/>
              </w:rPr>
            </w:pPr>
          </w:p>
        </w:tc>
        <w:tc>
          <w:tcPr>
            <w:tcW w:w="1843" w:type="dxa"/>
            <w:vMerge w:val="continue"/>
            <w:tcBorders>
              <w:left w:val="single" w:color="auto" w:sz="4" w:space="0"/>
              <w:right w:val="single" w:color="auto" w:sz="4" w:space="0"/>
            </w:tcBorders>
            <w:vAlign w:val="center"/>
          </w:tcPr>
          <w:p>
            <w:pPr>
              <w:widowControl/>
              <w:topLinePunct/>
              <w:autoSpaceDE w:val="0"/>
              <w:adjustRightInd w:val="0"/>
              <w:spacing w:line="360" w:lineRule="auto"/>
              <w:jc w:val="left"/>
              <w:rPr>
                <w:rFonts w:ascii="宋体" w:hAnsi="宋体" w:eastAsia="宋体" w:cs="宋体"/>
                <w:kern w:val="0"/>
                <w:szCs w:val="21"/>
              </w:rPr>
            </w:pPr>
          </w:p>
        </w:tc>
        <w:tc>
          <w:tcPr>
            <w:tcW w:w="6237"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包括人员档案、设备档案、物资档案、实验室体系文件档案、实验室非体系文件档案、环境档案、质控归档文件、所有业务归档文件（如不合格标本记录表、危急值记录表、数据分析记录表等），以及实验室事务项管理归档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817" w:type="dxa"/>
            <w:vMerge w:val="continue"/>
            <w:tcBorders>
              <w:left w:val="single" w:color="auto" w:sz="4" w:space="0"/>
              <w:right w:val="single" w:color="auto" w:sz="4" w:space="0"/>
            </w:tcBorders>
            <w:vAlign w:val="center"/>
          </w:tcPr>
          <w:p>
            <w:pPr>
              <w:widowControl/>
              <w:numPr>
                <w:ilvl w:val="0"/>
                <w:numId w:val="3"/>
              </w:numPr>
              <w:topLinePunct/>
              <w:autoSpaceDE w:val="0"/>
              <w:adjustRightInd w:val="0"/>
              <w:spacing w:line="360" w:lineRule="auto"/>
              <w:rPr>
                <w:rFonts w:ascii="宋体" w:hAnsi="宋体" w:eastAsia="宋体" w:cs="宋体"/>
                <w:szCs w:val="21"/>
              </w:rPr>
            </w:pPr>
          </w:p>
        </w:tc>
        <w:tc>
          <w:tcPr>
            <w:tcW w:w="1843" w:type="dxa"/>
            <w:vMerge w:val="continue"/>
            <w:tcBorders>
              <w:left w:val="single" w:color="auto" w:sz="4" w:space="0"/>
              <w:right w:val="single" w:color="auto" w:sz="4" w:space="0"/>
            </w:tcBorders>
            <w:vAlign w:val="center"/>
          </w:tcPr>
          <w:p>
            <w:pPr>
              <w:widowControl/>
              <w:topLinePunct/>
              <w:autoSpaceDE w:val="0"/>
              <w:adjustRightInd w:val="0"/>
              <w:spacing w:line="360" w:lineRule="auto"/>
              <w:jc w:val="left"/>
              <w:rPr>
                <w:rFonts w:ascii="宋体" w:hAnsi="宋体" w:eastAsia="宋体" w:cs="宋体"/>
                <w:kern w:val="0"/>
                <w:szCs w:val="21"/>
              </w:rPr>
            </w:pPr>
          </w:p>
        </w:tc>
        <w:tc>
          <w:tcPr>
            <w:tcW w:w="6237"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jc w:val="left"/>
              <w:rPr>
                <w:rFonts w:ascii="宋体" w:hAnsi="宋体" w:eastAsia="宋体" w:cs="宋体"/>
                <w:kern w:val="0"/>
                <w:szCs w:val="21"/>
              </w:rPr>
            </w:pPr>
            <w:r>
              <w:rPr>
                <w:rFonts w:hint="eastAsia" w:ascii="宋体" w:hAnsi="宋体" w:eastAsia="宋体" w:cs="宋体"/>
                <w:szCs w:val="21"/>
              </w:rPr>
              <w:t>★</w:t>
            </w:r>
            <w:r>
              <w:rPr>
                <w:rFonts w:hint="eastAsia" w:ascii="宋体" w:hAnsi="宋体" w:eastAsia="宋体" w:cs="宋体"/>
                <w:kern w:val="0"/>
                <w:szCs w:val="21"/>
              </w:rPr>
              <w:t>归档方式包括业务系统手工归档，根据业务管理规定后台服务定时归档，根据相关分析方案后台服务定时归档。归档文件可以实现归档-审核-审批流程化管理。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817" w:type="dxa"/>
            <w:vMerge w:val="continue"/>
            <w:tcBorders>
              <w:left w:val="single" w:color="auto" w:sz="4" w:space="0"/>
              <w:bottom w:val="single" w:color="auto" w:sz="4" w:space="0"/>
              <w:right w:val="single" w:color="auto" w:sz="4" w:space="0"/>
            </w:tcBorders>
            <w:vAlign w:val="center"/>
          </w:tcPr>
          <w:p>
            <w:pPr>
              <w:widowControl/>
              <w:numPr>
                <w:ilvl w:val="0"/>
                <w:numId w:val="3"/>
              </w:numPr>
              <w:topLinePunct/>
              <w:autoSpaceDE w:val="0"/>
              <w:adjustRightInd w:val="0"/>
              <w:spacing w:line="360" w:lineRule="auto"/>
              <w:rPr>
                <w:rFonts w:ascii="宋体" w:hAnsi="宋体" w:eastAsia="宋体" w:cs="宋体"/>
                <w:szCs w:val="21"/>
              </w:rPr>
            </w:pPr>
          </w:p>
        </w:tc>
        <w:tc>
          <w:tcPr>
            <w:tcW w:w="1843" w:type="dxa"/>
            <w:vMerge w:val="continue"/>
            <w:tcBorders>
              <w:left w:val="single" w:color="auto" w:sz="4" w:space="0"/>
              <w:bottom w:val="single" w:color="auto" w:sz="4" w:space="0"/>
              <w:right w:val="single" w:color="auto" w:sz="4" w:space="0"/>
            </w:tcBorders>
            <w:vAlign w:val="center"/>
          </w:tcPr>
          <w:p>
            <w:pPr>
              <w:widowControl/>
              <w:topLinePunct/>
              <w:autoSpaceDE w:val="0"/>
              <w:adjustRightInd w:val="0"/>
              <w:spacing w:line="360" w:lineRule="auto"/>
              <w:jc w:val="left"/>
              <w:rPr>
                <w:rFonts w:ascii="宋体" w:hAnsi="宋体" w:eastAsia="宋体" w:cs="宋体"/>
                <w:kern w:val="0"/>
                <w:szCs w:val="21"/>
              </w:rPr>
            </w:pPr>
          </w:p>
        </w:tc>
        <w:tc>
          <w:tcPr>
            <w:tcW w:w="6237"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jc w:val="left"/>
              <w:rPr>
                <w:rFonts w:ascii="宋体" w:hAnsi="宋体" w:eastAsia="宋体" w:cs="宋体"/>
                <w:kern w:val="0"/>
                <w:szCs w:val="21"/>
                <w:lang w:val="es-AR"/>
              </w:rPr>
            </w:pPr>
            <w:r>
              <w:rPr>
                <w:rFonts w:hint="eastAsia" w:ascii="宋体" w:hAnsi="宋体" w:eastAsia="宋体" w:cs="宋体"/>
                <w:kern w:val="0"/>
                <w:szCs w:val="21"/>
              </w:rPr>
              <w:t>可以自定义管理主体和分类。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9" w:hRule="atLeast"/>
        </w:trPr>
        <w:tc>
          <w:tcPr>
            <w:tcW w:w="817" w:type="dxa"/>
            <w:vMerge w:val="restart"/>
            <w:tcBorders>
              <w:top w:val="single" w:color="auto" w:sz="4" w:space="0"/>
              <w:left w:val="single" w:color="auto" w:sz="4" w:space="0"/>
              <w:right w:val="single" w:color="auto" w:sz="4" w:space="0"/>
            </w:tcBorders>
            <w:vAlign w:val="center"/>
          </w:tcPr>
          <w:p>
            <w:pPr>
              <w:widowControl/>
              <w:numPr>
                <w:ilvl w:val="0"/>
                <w:numId w:val="3"/>
              </w:numPr>
              <w:topLinePunct/>
              <w:autoSpaceDE w:val="0"/>
              <w:adjustRightInd w:val="0"/>
              <w:spacing w:line="360" w:lineRule="auto"/>
              <w:rPr>
                <w:rFonts w:ascii="宋体" w:hAnsi="宋体" w:eastAsia="宋体" w:cs="宋体"/>
                <w:szCs w:val="21"/>
              </w:rPr>
            </w:pPr>
          </w:p>
        </w:tc>
        <w:tc>
          <w:tcPr>
            <w:tcW w:w="1843" w:type="dxa"/>
            <w:vMerge w:val="restart"/>
            <w:tcBorders>
              <w:top w:val="single" w:color="auto" w:sz="4" w:space="0"/>
              <w:left w:val="single" w:color="auto" w:sz="4" w:space="0"/>
              <w:right w:val="single" w:color="auto" w:sz="4" w:space="0"/>
            </w:tcBorders>
            <w:vAlign w:val="center"/>
          </w:tcPr>
          <w:p>
            <w:pPr>
              <w:widowControl/>
              <w:topLinePunct/>
              <w:autoSpaceDE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实验室事务项管理系统</w:t>
            </w:r>
          </w:p>
          <w:p>
            <w:pPr>
              <w:widowControl/>
              <w:topLinePunct/>
              <w:autoSpaceDE w:val="0"/>
              <w:adjustRightInd w:val="0"/>
              <w:spacing w:line="360" w:lineRule="auto"/>
              <w:jc w:val="left"/>
              <w:rPr>
                <w:rFonts w:ascii="宋体" w:hAnsi="宋体" w:eastAsia="宋体" w:cs="宋体"/>
                <w:kern w:val="0"/>
                <w:szCs w:val="21"/>
              </w:rPr>
            </w:pPr>
          </w:p>
        </w:tc>
        <w:tc>
          <w:tcPr>
            <w:tcW w:w="6237"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jc w:val="left"/>
              <w:rPr>
                <w:rFonts w:ascii="宋体" w:hAnsi="宋体" w:eastAsia="宋体" w:cs="宋体"/>
                <w:kern w:val="0"/>
                <w:szCs w:val="21"/>
              </w:rPr>
            </w:pPr>
            <w:r>
              <w:rPr>
                <w:rFonts w:hint="eastAsia" w:ascii="宋体" w:hAnsi="宋体" w:eastAsia="宋体" w:cs="宋体"/>
                <w:szCs w:val="21"/>
              </w:rPr>
              <w:t>★</w:t>
            </w:r>
            <w:r>
              <w:rPr>
                <w:rFonts w:hint="eastAsia" w:ascii="宋体" w:hAnsi="宋体" w:eastAsia="宋体" w:cs="宋体"/>
                <w:kern w:val="0"/>
                <w:szCs w:val="21"/>
              </w:rPr>
              <w:t>对各个实验室日常工作中多批次执行独立事件事务项、多事件组合成的事务项、流程化事件分割的事务项等涉及的非标准性功能事件及事务项进行设计和管理流程定义，最终实现实验室包含人机料法环样测在内的以及其它非标准化事务项的电子化、可视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817" w:type="dxa"/>
            <w:vMerge w:val="continue"/>
            <w:tcBorders>
              <w:left w:val="single" w:color="auto" w:sz="4" w:space="0"/>
              <w:right w:val="single" w:color="auto" w:sz="4" w:space="0"/>
            </w:tcBorders>
          </w:tcPr>
          <w:p>
            <w:pPr>
              <w:widowControl/>
              <w:numPr>
                <w:ilvl w:val="0"/>
                <w:numId w:val="3"/>
              </w:numPr>
              <w:topLinePunct/>
              <w:autoSpaceDE w:val="0"/>
              <w:adjustRightInd w:val="0"/>
              <w:spacing w:line="360" w:lineRule="auto"/>
              <w:jc w:val="right"/>
              <w:rPr>
                <w:rFonts w:ascii="宋体" w:hAnsi="宋体" w:eastAsia="宋体" w:cs="宋体"/>
                <w:szCs w:val="21"/>
              </w:rPr>
            </w:pPr>
          </w:p>
        </w:tc>
        <w:tc>
          <w:tcPr>
            <w:tcW w:w="1843" w:type="dxa"/>
            <w:vMerge w:val="continue"/>
            <w:tcBorders>
              <w:left w:val="single" w:color="auto" w:sz="4" w:space="0"/>
              <w:right w:val="single" w:color="auto" w:sz="4" w:space="0"/>
            </w:tcBorders>
            <w:vAlign w:val="center"/>
          </w:tcPr>
          <w:p>
            <w:pPr>
              <w:widowControl/>
              <w:topLinePunct/>
              <w:autoSpaceDE w:val="0"/>
              <w:adjustRightInd w:val="0"/>
              <w:spacing w:line="360" w:lineRule="auto"/>
              <w:jc w:val="left"/>
              <w:rPr>
                <w:rFonts w:ascii="宋体" w:hAnsi="宋体" w:eastAsia="宋体" w:cs="宋体"/>
                <w:kern w:val="0"/>
                <w:szCs w:val="21"/>
              </w:rPr>
            </w:pPr>
          </w:p>
        </w:tc>
        <w:tc>
          <w:tcPr>
            <w:tcW w:w="6237"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 xml:space="preserve">针对事件设计，可以从一张汇总管理表格中自动获取事件记录中所有数据项，并对数据项进行定义。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817" w:type="dxa"/>
            <w:vMerge w:val="continue"/>
            <w:tcBorders>
              <w:left w:val="single" w:color="auto" w:sz="4" w:space="0"/>
              <w:right w:val="single" w:color="auto" w:sz="4" w:space="0"/>
            </w:tcBorders>
          </w:tcPr>
          <w:p>
            <w:pPr>
              <w:widowControl/>
              <w:numPr>
                <w:ilvl w:val="0"/>
                <w:numId w:val="3"/>
              </w:numPr>
              <w:topLinePunct/>
              <w:autoSpaceDE w:val="0"/>
              <w:adjustRightInd w:val="0"/>
              <w:spacing w:line="360" w:lineRule="auto"/>
              <w:jc w:val="right"/>
              <w:rPr>
                <w:rFonts w:ascii="宋体" w:hAnsi="宋体" w:eastAsia="宋体" w:cs="宋体"/>
                <w:szCs w:val="21"/>
              </w:rPr>
            </w:pPr>
          </w:p>
        </w:tc>
        <w:tc>
          <w:tcPr>
            <w:tcW w:w="1843" w:type="dxa"/>
            <w:vMerge w:val="continue"/>
            <w:tcBorders>
              <w:left w:val="single" w:color="auto" w:sz="4" w:space="0"/>
              <w:right w:val="single" w:color="auto" w:sz="4" w:space="0"/>
            </w:tcBorders>
            <w:vAlign w:val="center"/>
          </w:tcPr>
          <w:p>
            <w:pPr>
              <w:widowControl/>
              <w:topLinePunct/>
              <w:autoSpaceDE w:val="0"/>
              <w:adjustRightInd w:val="0"/>
              <w:spacing w:line="360" w:lineRule="auto"/>
              <w:jc w:val="left"/>
              <w:rPr>
                <w:rFonts w:ascii="宋体" w:hAnsi="宋体" w:eastAsia="宋体" w:cs="宋体"/>
                <w:kern w:val="0"/>
                <w:szCs w:val="21"/>
              </w:rPr>
            </w:pPr>
          </w:p>
        </w:tc>
        <w:tc>
          <w:tcPr>
            <w:tcW w:w="6237"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jc w:val="left"/>
              <w:rPr>
                <w:rFonts w:ascii="宋体" w:hAnsi="宋体" w:eastAsia="宋体" w:cs="宋体"/>
                <w:kern w:val="0"/>
                <w:szCs w:val="21"/>
                <w:lang w:val="es-AR"/>
              </w:rPr>
            </w:pPr>
            <w:r>
              <w:rPr>
                <w:rFonts w:hint="eastAsia" w:ascii="宋体" w:hAnsi="宋体" w:eastAsia="宋体" w:cs="宋体"/>
                <w:kern w:val="0"/>
                <w:szCs w:val="21"/>
              </w:rPr>
              <w:t>数据项数据来源可以是手工录入，也可以是从管理系统中提取。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817" w:type="dxa"/>
            <w:vMerge w:val="continue"/>
            <w:tcBorders>
              <w:left w:val="single" w:color="auto" w:sz="4" w:space="0"/>
              <w:right w:val="single" w:color="auto" w:sz="4" w:space="0"/>
            </w:tcBorders>
          </w:tcPr>
          <w:p>
            <w:pPr>
              <w:widowControl/>
              <w:numPr>
                <w:ilvl w:val="0"/>
                <w:numId w:val="3"/>
              </w:numPr>
              <w:topLinePunct/>
              <w:autoSpaceDE w:val="0"/>
              <w:adjustRightInd w:val="0"/>
              <w:spacing w:line="360" w:lineRule="auto"/>
              <w:jc w:val="right"/>
              <w:rPr>
                <w:rFonts w:ascii="宋体" w:hAnsi="宋体" w:eastAsia="宋体" w:cs="宋体"/>
                <w:szCs w:val="21"/>
              </w:rPr>
            </w:pPr>
          </w:p>
        </w:tc>
        <w:tc>
          <w:tcPr>
            <w:tcW w:w="1843" w:type="dxa"/>
            <w:vMerge w:val="continue"/>
            <w:tcBorders>
              <w:left w:val="single" w:color="auto" w:sz="4" w:space="0"/>
              <w:right w:val="single" w:color="auto" w:sz="4" w:space="0"/>
            </w:tcBorders>
            <w:vAlign w:val="center"/>
          </w:tcPr>
          <w:p>
            <w:pPr>
              <w:widowControl/>
              <w:topLinePunct/>
              <w:autoSpaceDE w:val="0"/>
              <w:adjustRightInd w:val="0"/>
              <w:spacing w:line="360" w:lineRule="auto"/>
              <w:jc w:val="left"/>
              <w:rPr>
                <w:rFonts w:ascii="宋体" w:hAnsi="宋体" w:eastAsia="宋体" w:cs="宋体"/>
                <w:kern w:val="0"/>
                <w:szCs w:val="21"/>
              </w:rPr>
            </w:pPr>
          </w:p>
        </w:tc>
        <w:tc>
          <w:tcPr>
            <w:tcW w:w="6237"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可以定义成组合进行分类管理。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exact"/>
        </w:trPr>
        <w:tc>
          <w:tcPr>
            <w:tcW w:w="817" w:type="dxa"/>
            <w:vMerge w:val="continue"/>
            <w:tcBorders>
              <w:left w:val="single" w:color="auto" w:sz="4" w:space="0"/>
              <w:right w:val="single" w:color="auto" w:sz="4" w:space="0"/>
            </w:tcBorders>
          </w:tcPr>
          <w:p>
            <w:pPr>
              <w:widowControl/>
              <w:numPr>
                <w:ilvl w:val="0"/>
                <w:numId w:val="3"/>
              </w:numPr>
              <w:topLinePunct/>
              <w:autoSpaceDE w:val="0"/>
              <w:adjustRightInd w:val="0"/>
              <w:spacing w:line="360" w:lineRule="auto"/>
              <w:jc w:val="right"/>
              <w:rPr>
                <w:rFonts w:ascii="宋体" w:hAnsi="宋体" w:eastAsia="宋体" w:cs="宋体"/>
                <w:szCs w:val="21"/>
              </w:rPr>
            </w:pPr>
          </w:p>
        </w:tc>
        <w:tc>
          <w:tcPr>
            <w:tcW w:w="1843" w:type="dxa"/>
            <w:vMerge w:val="continue"/>
            <w:tcBorders>
              <w:left w:val="single" w:color="auto" w:sz="4" w:space="0"/>
              <w:right w:val="single" w:color="auto" w:sz="4" w:space="0"/>
            </w:tcBorders>
            <w:vAlign w:val="center"/>
          </w:tcPr>
          <w:p>
            <w:pPr>
              <w:widowControl/>
              <w:topLinePunct/>
              <w:autoSpaceDE w:val="0"/>
              <w:adjustRightInd w:val="0"/>
              <w:spacing w:line="360" w:lineRule="auto"/>
              <w:jc w:val="left"/>
              <w:rPr>
                <w:rFonts w:ascii="宋体" w:hAnsi="宋体" w:eastAsia="宋体" w:cs="宋体"/>
                <w:kern w:val="0"/>
                <w:szCs w:val="21"/>
              </w:rPr>
            </w:pPr>
          </w:p>
        </w:tc>
        <w:tc>
          <w:tcPr>
            <w:tcW w:w="6237"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可以定义事件执行频率属性、事件授权属性、事件模块归属属性、事件所产生的表单归档属性。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exact"/>
        </w:trPr>
        <w:tc>
          <w:tcPr>
            <w:tcW w:w="817" w:type="dxa"/>
            <w:vMerge w:val="continue"/>
            <w:tcBorders>
              <w:left w:val="single" w:color="auto" w:sz="4" w:space="0"/>
              <w:right w:val="single" w:color="auto" w:sz="4" w:space="0"/>
            </w:tcBorders>
          </w:tcPr>
          <w:p>
            <w:pPr>
              <w:widowControl/>
              <w:numPr>
                <w:ilvl w:val="0"/>
                <w:numId w:val="3"/>
              </w:numPr>
              <w:topLinePunct/>
              <w:autoSpaceDE w:val="0"/>
              <w:adjustRightInd w:val="0"/>
              <w:spacing w:line="360" w:lineRule="auto"/>
              <w:jc w:val="right"/>
              <w:rPr>
                <w:rFonts w:ascii="宋体" w:hAnsi="宋体" w:eastAsia="宋体" w:cs="宋体"/>
                <w:szCs w:val="21"/>
              </w:rPr>
            </w:pPr>
          </w:p>
        </w:tc>
        <w:tc>
          <w:tcPr>
            <w:tcW w:w="1843" w:type="dxa"/>
            <w:vMerge w:val="continue"/>
            <w:tcBorders>
              <w:left w:val="single" w:color="auto" w:sz="4" w:space="0"/>
              <w:right w:val="single" w:color="auto" w:sz="4" w:space="0"/>
            </w:tcBorders>
            <w:vAlign w:val="center"/>
          </w:tcPr>
          <w:p>
            <w:pPr>
              <w:widowControl/>
              <w:topLinePunct/>
              <w:autoSpaceDE w:val="0"/>
              <w:adjustRightInd w:val="0"/>
              <w:spacing w:line="360" w:lineRule="auto"/>
              <w:jc w:val="left"/>
              <w:rPr>
                <w:rFonts w:ascii="宋体" w:hAnsi="宋体" w:eastAsia="宋体" w:cs="宋体"/>
                <w:kern w:val="0"/>
                <w:szCs w:val="21"/>
              </w:rPr>
            </w:pPr>
          </w:p>
        </w:tc>
        <w:tc>
          <w:tcPr>
            <w:tcW w:w="6237"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事件记录以数据项形式进行填写，并以记录列表形式进行即时展现，并随时能够查看归档格式的汇总报表，可以实现年、季度、月份多级混合模式的复杂报表。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5" w:hRule="exact"/>
        </w:trPr>
        <w:tc>
          <w:tcPr>
            <w:tcW w:w="817" w:type="dxa"/>
            <w:vMerge w:val="continue"/>
            <w:tcBorders>
              <w:left w:val="single" w:color="auto" w:sz="4" w:space="0"/>
              <w:right w:val="single" w:color="auto" w:sz="4" w:space="0"/>
            </w:tcBorders>
          </w:tcPr>
          <w:p>
            <w:pPr>
              <w:widowControl/>
              <w:numPr>
                <w:ilvl w:val="0"/>
                <w:numId w:val="3"/>
              </w:numPr>
              <w:topLinePunct/>
              <w:autoSpaceDE w:val="0"/>
              <w:adjustRightInd w:val="0"/>
              <w:spacing w:line="360" w:lineRule="auto"/>
              <w:jc w:val="right"/>
              <w:rPr>
                <w:rFonts w:ascii="宋体" w:hAnsi="宋体" w:eastAsia="宋体" w:cs="宋体"/>
                <w:szCs w:val="21"/>
              </w:rPr>
            </w:pPr>
          </w:p>
        </w:tc>
        <w:tc>
          <w:tcPr>
            <w:tcW w:w="1843" w:type="dxa"/>
            <w:vMerge w:val="continue"/>
            <w:tcBorders>
              <w:left w:val="single" w:color="auto" w:sz="4" w:space="0"/>
              <w:right w:val="single" w:color="auto" w:sz="4" w:space="0"/>
            </w:tcBorders>
            <w:vAlign w:val="center"/>
          </w:tcPr>
          <w:p>
            <w:pPr>
              <w:widowControl/>
              <w:topLinePunct/>
              <w:autoSpaceDE w:val="0"/>
              <w:adjustRightInd w:val="0"/>
              <w:spacing w:line="360" w:lineRule="auto"/>
              <w:jc w:val="left"/>
              <w:rPr>
                <w:rFonts w:ascii="宋体" w:hAnsi="宋体" w:eastAsia="宋体" w:cs="宋体"/>
                <w:kern w:val="0"/>
                <w:szCs w:val="21"/>
              </w:rPr>
            </w:pPr>
          </w:p>
        </w:tc>
        <w:tc>
          <w:tcPr>
            <w:tcW w:w="6237"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jc w:val="left"/>
              <w:rPr>
                <w:rFonts w:ascii="宋体" w:hAnsi="宋体" w:eastAsia="宋体" w:cs="宋体"/>
                <w:kern w:val="0"/>
                <w:szCs w:val="21"/>
              </w:rPr>
            </w:pPr>
            <w:r>
              <w:rPr>
                <w:rFonts w:hint="eastAsia" w:ascii="宋体" w:hAnsi="宋体" w:eastAsia="宋体" w:cs="宋体"/>
                <w:szCs w:val="21"/>
              </w:rPr>
              <w:t>★</w:t>
            </w:r>
            <w:r>
              <w:rPr>
                <w:rFonts w:hint="eastAsia" w:ascii="宋体" w:hAnsi="宋体" w:eastAsia="宋体" w:cs="宋体"/>
                <w:kern w:val="0"/>
                <w:szCs w:val="21"/>
              </w:rPr>
              <w:t>可以在事件基础上进行多事件组合形成事务项，在事务项中可以对事件顺序进行定义，自动获取事件填报记录、事件确认事项以及事件知识文件，并形成事件执行记录并可作归档，各个事件所产生的记录数据自动归属到各自管理模块，并可作自动归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5" w:hRule="exact"/>
        </w:trPr>
        <w:tc>
          <w:tcPr>
            <w:tcW w:w="817" w:type="dxa"/>
            <w:vMerge w:val="continue"/>
            <w:tcBorders>
              <w:left w:val="single" w:color="auto" w:sz="4" w:space="0"/>
              <w:right w:val="single" w:color="auto" w:sz="4" w:space="0"/>
            </w:tcBorders>
          </w:tcPr>
          <w:p>
            <w:pPr>
              <w:widowControl/>
              <w:numPr>
                <w:ilvl w:val="0"/>
                <w:numId w:val="3"/>
              </w:numPr>
              <w:topLinePunct/>
              <w:autoSpaceDE w:val="0"/>
              <w:adjustRightInd w:val="0"/>
              <w:spacing w:line="360" w:lineRule="auto"/>
              <w:jc w:val="right"/>
              <w:rPr>
                <w:rFonts w:ascii="宋体" w:hAnsi="宋体" w:eastAsia="宋体" w:cs="宋体"/>
                <w:szCs w:val="21"/>
              </w:rPr>
            </w:pPr>
          </w:p>
        </w:tc>
        <w:tc>
          <w:tcPr>
            <w:tcW w:w="1843" w:type="dxa"/>
            <w:vMerge w:val="continue"/>
            <w:tcBorders>
              <w:left w:val="single" w:color="auto" w:sz="4" w:space="0"/>
              <w:right w:val="single" w:color="auto" w:sz="4" w:space="0"/>
            </w:tcBorders>
            <w:vAlign w:val="center"/>
          </w:tcPr>
          <w:p>
            <w:pPr>
              <w:widowControl/>
              <w:topLinePunct/>
              <w:autoSpaceDE w:val="0"/>
              <w:adjustRightInd w:val="0"/>
              <w:spacing w:line="360" w:lineRule="auto"/>
              <w:jc w:val="left"/>
              <w:rPr>
                <w:rFonts w:ascii="宋体" w:hAnsi="宋体" w:eastAsia="宋体" w:cs="宋体"/>
                <w:kern w:val="0"/>
                <w:szCs w:val="21"/>
              </w:rPr>
            </w:pPr>
          </w:p>
        </w:tc>
        <w:tc>
          <w:tcPr>
            <w:tcW w:w="6237"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针对流程化事件，可以按照事件步骤自动对数据项进行分类组合，并对事件按照数据项组合进行流程化定义，最终形成流程化事件分割的事务项，流程化事务执行完毕形成完整的记录表格并可作自动归档。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exact"/>
        </w:trPr>
        <w:tc>
          <w:tcPr>
            <w:tcW w:w="817" w:type="dxa"/>
            <w:vMerge w:val="continue"/>
            <w:tcBorders>
              <w:left w:val="single" w:color="auto" w:sz="4" w:space="0"/>
              <w:right w:val="single" w:color="auto" w:sz="4" w:space="0"/>
            </w:tcBorders>
          </w:tcPr>
          <w:p>
            <w:pPr>
              <w:widowControl/>
              <w:numPr>
                <w:ilvl w:val="0"/>
                <w:numId w:val="3"/>
              </w:numPr>
              <w:topLinePunct/>
              <w:autoSpaceDE w:val="0"/>
              <w:adjustRightInd w:val="0"/>
              <w:spacing w:line="360" w:lineRule="auto"/>
              <w:jc w:val="right"/>
              <w:rPr>
                <w:rFonts w:ascii="宋体" w:hAnsi="宋体" w:eastAsia="宋体" w:cs="宋体"/>
                <w:szCs w:val="21"/>
              </w:rPr>
            </w:pPr>
          </w:p>
        </w:tc>
        <w:tc>
          <w:tcPr>
            <w:tcW w:w="1843" w:type="dxa"/>
            <w:vMerge w:val="continue"/>
            <w:tcBorders>
              <w:left w:val="single" w:color="auto" w:sz="4" w:space="0"/>
              <w:right w:val="single" w:color="auto" w:sz="4" w:space="0"/>
            </w:tcBorders>
            <w:vAlign w:val="center"/>
          </w:tcPr>
          <w:p>
            <w:pPr>
              <w:widowControl/>
              <w:topLinePunct/>
              <w:autoSpaceDE w:val="0"/>
              <w:adjustRightInd w:val="0"/>
              <w:spacing w:line="360" w:lineRule="auto"/>
              <w:jc w:val="center"/>
              <w:rPr>
                <w:rFonts w:ascii="宋体" w:hAnsi="宋体" w:eastAsia="宋体" w:cs="宋体"/>
                <w:kern w:val="0"/>
                <w:szCs w:val="21"/>
              </w:rPr>
            </w:pPr>
          </w:p>
        </w:tc>
        <w:tc>
          <w:tcPr>
            <w:tcW w:w="623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kern w:val="0"/>
                <w:szCs w:val="21"/>
              </w:rPr>
            </w:pPr>
            <w:r>
              <w:rPr>
                <w:rFonts w:hint="eastAsia" w:ascii="宋体" w:hAnsi="宋体" w:eastAsia="宋体" w:cs="宋体"/>
                <w:kern w:val="0"/>
                <w:szCs w:val="21"/>
              </w:rPr>
              <w:t>可以实现所有事务项进程的可视化管理以及自动提醒功能。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trPr>
        <w:tc>
          <w:tcPr>
            <w:tcW w:w="817" w:type="dxa"/>
            <w:vMerge w:val="continue"/>
            <w:tcBorders>
              <w:left w:val="single" w:color="auto" w:sz="4" w:space="0"/>
              <w:bottom w:val="single" w:color="auto" w:sz="4" w:space="0"/>
              <w:right w:val="single" w:color="auto" w:sz="4" w:space="0"/>
            </w:tcBorders>
          </w:tcPr>
          <w:p>
            <w:pPr>
              <w:widowControl/>
              <w:numPr>
                <w:ilvl w:val="0"/>
                <w:numId w:val="3"/>
              </w:numPr>
              <w:topLinePunct/>
              <w:autoSpaceDE w:val="0"/>
              <w:adjustRightInd w:val="0"/>
              <w:spacing w:line="360" w:lineRule="auto"/>
              <w:jc w:val="right"/>
              <w:rPr>
                <w:rFonts w:ascii="宋体" w:hAnsi="宋体" w:eastAsia="宋体" w:cs="宋体"/>
                <w:szCs w:val="21"/>
              </w:rPr>
            </w:pPr>
          </w:p>
        </w:tc>
        <w:tc>
          <w:tcPr>
            <w:tcW w:w="1843" w:type="dxa"/>
            <w:vMerge w:val="continue"/>
            <w:tcBorders>
              <w:left w:val="single" w:color="auto" w:sz="4" w:space="0"/>
              <w:right w:val="single" w:color="auto" w:sz="4" w:space="0"/>
            </w:tcBorders>
            <w:vAlign w:val="center"/>
          </w:tcPr>
          <w:p>
            <w:pPr>
              <w:widowControl/>
              <w:topLinePunct/>
              <w:autoSpaceDE w:val="0"/>
              <w:adjustRightInd w:val="0"/>
              <w:spacing w:line="360" w:lineRule="auto"/>
              <w:jc w:val="center"/>
              <w:rPr>
                <w:rFonts w:ascii="宋体" w:hAnsi="宋体" w:eastAsia="宋体" w:cs="宋体"/>
                <w:kern w:val="0"/>
                <w:szCs w:val="21"/>
              </w:rPr>
            </w:pPr>
          </w:p>
        </w:tc>
        <w:tc>
          <w:tcPr>
            <w:tcW w:w="623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kern w:val="0"/>
                <w:szCs w:val="21"/>
              </w:rPr>
            </w:pPr>
            <w:r>
              <w:rPr>
                <w:rFonts w:hint="eastAsia" w:ascii="宋体" w:hAnsi="宋体" w:eastAsia="宋体" w:cs="宋体"/>
                <w:kern w:val="0"/>
                <w:szCs w:val="21"/>
              </w:rPr>
              <w:t>支持线上文件编辑的群协作功能。</w:t>
            </w:r>
          </w:p>
        </w:tc>
      </w:tr>
    </w:tbl>
    <w:p>
      <w:pPr>
        <w:jc w:val="left"/>
        <w:rPr>
          <w:rFonts w:ascii="黑体" w:hAnsi="黑体" w:eastAsia="黑体" w:cs="Times New Roman"/>
          <w:kern w:val="0"/>
          <w:sz w:val="32"/>
          <w:szCs w:val="32"/>
        </w:rPr>
      </w:pPr>
    </w:p>
    <w:sectPr>
      <w:headerReference r:id="rId13" w:type="default"/>
      <w:pgSz w:w="11907" w:h="16840"/>
      <w:pgMar w:top="2098" w:right="1474" w:bottom="1985" w:left="1588" w:header="851" w:footer="96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小标宋简体">
    <w:altName w:val="Arial Unicode MS"/>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Dotum">
    <w:panose1 w:val="020B0600000101010101"/>
    <w:charset w:val="81"/>
    <w:family w:val="swiss"/>
    <w:pitch w:val="default"/>
    <w:sig w:usb0="B00002AF" w:usb1="69D77CFB" w:usb2="00000030" w:usb3="00000000" w:csb0="4008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ordWrap w:val="0"/>
      <w:jc w:val="right"/>
      <w:rPr>
        <w:sz w:val="24"/>
        <w:szCs w:val="24"/>
      </w:rPr>
    </w:pPr>
    <w:r>
      <w:rPr>
        <w:rFonts w:hint="eastAsia"/>
        <w:sz w:val="24"/>
        <w:szCs w:val="24"/>
      </w:rPr>
      <w:t>—</w:t>
    </w:r>
    <w:r>
      <w:rPr>
        <w:rStyle w:val="21"/>
        <w:sz w:val="24"/>
        <w:szCs w:val="24"/>
      </w:rPr>
      <w:fldChar w:fldCharType="begin"/>
    </w:r>
    <w:r>
      <w:rPr>
        <w:rStyle w:val="21"/>
        <w:sz w:val="24"/>
        <w:szCs w:val="24"/>
      </w:rPr>
      <w:instrText xml:space="preserve"> PAGE </w:instrText>
    </w:r>
    <w:r>
      <w:rPr>
        <w:rStyle w:val="21"/>
        <w:sz w:val="24"/>
        <w:szCs w:val="24"/>
      </w:rPr>
      <w:fldChar w:fldCharType="separate"/>
    </w:r>
    <w:r>
      <w:rPr>
        <w:rStyle w:val="21"/>
        <w:sz w:val="24"/>
        <w:szCs w:val="24"/>
      </w:rPr>
      <w:t>3</w:t>
    </w:r>
    <w:r>
      <w:rPr>
        <w:rStyle w:val="21"/>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ordWrap w:val="0"/>
      <w:jc w:val="right"/>
      <w:rPr>
        <w:sz w:val="24"/>
        <w:szCs w:val="24"/>
      </w:rPr>
    </w:pPr>
    <w:r>
      <w:rPr>
        <w:rFonts w:hint="eastAsia"/>
        <w:sz w:val="24"/>
        <w:szCs w:val="24"/>
      </w:rPr>
      <w:t>—</w:t>
    </w:r>
    <w:r>
      <w:rPr>
        <w:rStyle w:val="21"/>
        <w:sz w:val="24"/>
        <w:szCs w:val="24"/>
      </w:rPr>
      <w:fldChar w:fldCharType="begin"/>
    </w:r>
    <w:r>
      <w:rPr>
        <w:rStyle w:val="21"/>
        <w:sz w:val="24"/>
        <w:szCs w:val="24"/>
      </w:rPr>
      <w:instrText xml:space="preserve"> PAGE </w:instrText>
    </w:r>
    <w:r>
      <w:rPr>
        <w:rStyle w:val="21"/>
        <w:sz w:val="24"/>
        <w:szCs w:val="24"/>
      </w:rPr>
      <w:fldChar w:fldCharType="separate"/>
    </w:r>
    <w:r>
      <w:rPr>
        <w:rStyle w:val="21"/>
        <w:sz w:val="24"/>
        <w:szCs w:val="24"/>
      </w:rPr>
      <w:t>19</w:t>
    </w:r>
    <w:r>
      <w:rPr>
        <w:rStyle w:val="21"/>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ordWrap w:val="0"/>
      <w:jc w:val="right"/>
      <w:rPr>
        <w:rFonts w:ascii="宋体"/>
        <w:sz w:val="24"/>
        <w:szCs w:val="24"/>
      </w:rPr>
    </w:pPr>
    <w:r>
      <w:rPr>
        <w:rFonts w:hint="eastAsia" w:ascii="宋体"/>
        <w:sz w:val="24"/>
        <w:szCs w:val="24"/>
      </w:rPr>
      <w:t>—</w:t>
    </w:r>
    <w:r>
      <w:rPr>
        <w:rStyle w:val="21"/>
        <w:sz w:val="24"/>
        <w:szCs w:val="24"/>
      </w:rPr>
      <w:fldChar w:fldCharType="begin"/>
    </w:r>
    <w:r>
      <w:rPr>
        <w:rStyle w:val="21"/>
        <w:sz w:val="24"/>
        <w:szCs w:val="24"/>
      </w:rPr>
      <w:instrText xml:space="preserve"> PAGE </w:instrText>
    </w:r>
    <w:r>
      <w:rPr>
        <w:rStyle w:val="21"/>
        <w:sz w:val="24"/>
        <w:szCs w:val="24"/>
      </w:rPr>
      <w:fldChar w:fldCharType="separate"/>
    </w:r>
    <w:r>
      <w:rPr>
        <w:rStyle w:val="21"/>
        <w:sz w:val="24"/>
        <w:szCs w:val="24"/>
      </w:rPr>
      <w:t>62</w:t>
    </w:r>
    <w:r>
      <w:rPr>
        <w:rStyle w:val="21"/>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ascii="楷体_GB2312" w:eastAsia="楷体_GB2312"/>
        <w:sz w:val="21"/>
        <w:szCs w:val="21"/>
      </w:rPr>
    </w:pPr>
  </w:p>
  <w:p>
    <w:pPr>
      <w:pStyle w:val="13"/>
      <w:jc w:val="both"/>
      <w:rPr>
        <w:rFonts w:ascii="楷体_GB2312" w:eastAsia="楷体_GB2312"/>
        <w:sz w:val="21"/>
        <w:szCs w:val="21"/>
      </w:rPr>
    </w:pPr>
  </w:p>
  <w:p>
    <w:pPr>
      <w:pStyle w:val="13"/>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ascii="楷体_GB2312" w:eastAsia="楷体_GB2312"/>
        <w:sz w:val="21"/>
        <w:szCs w:val="21"/>
      </w:rPr>
    </w:pPr>
  </w:p>
  <w:p>
    <w:pPr>
      <w:pStyle w:val="13"/>
      <w:jc w:val="both"/>
      <w:rPr>
        <w:rFonts w:ascii="楷体_GB2312" w:eastAsia="楷体_GB2312"/>
        <w:sz w:val="21"/>
        <w:szCs w:val="21"/>
      </w:rPr>
    </w:pPr>
  </w:p>
  <w:p>
    <w:pPr>
      <w:pStyle w:val="13"/>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ascii="楷体_GB2312" w:eastAsia="楷体_GB2312"/>
        <w:sz w:val="21"/>
        <w:szCs w:val="21"/>
      </w:rPr>
    </w:pPr>
  </w:p>
  <w:p>
    <w:pPr>
      <w:pStyle w:val="13"/>
      <w:jc w:val="both"/>
      <w:rPr>
        <w:rFonts w:ascii="楷体_GB2312" w:eastAsia="楷体_GB2312"/>
        <w:sz w:val="21"/>
        <w:szCs w:val="21"/>
      </w:rPr>
    </w:pPr>
  </w:p>
  <w:p>
    <w:pPr>
      <w:pStyle w:val="13"/>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ascii="楷体_GB2312" w:eastAsia="楷体_GB2312"/>
        <w:sz w:val="21"/>
        <w:szCs w:val="21"/>
      </w:rPr>
    </w:pPr>
  </w:p>
  <w:p>
    <w:pPr>
      <w:pStyle w:val="13"/>
      <w:jc w:val="both"/>
      <w:rPr>
        <w:rFonts w:ascii="楷体_GB2312" w:eastAsia="楷体_GB2312"/>
        <w:sz w:val="21"/>
        <w:szCs w:val="21"/>
      </w:rPr>
    </w:pPr>
  </w:p>
  <w:p>
    <w:pPr>
      <w:pStyle w:val="13"/>
      <w:jc w:val="both"/>
      <w:rPr>
        <w:rFonts w:ascii="楷体_GB2312" w:eastAsia="楷体_GB2312"/>
        <w:sz w:val="21"/>
        <w:szCs w:val="21"/>
      </w:rPr>
    </w:pPr>
    <w:r>
      <w:rPr>
        <w:rFonts w:hint="eastAsia" w:ascii="楷体_GB2312" w:eastAsia="楷体_GB2312"/>
        <w:sz w:val="21"/>
        <w:szCs w:val="21"/>
      </w:rPr>
      <w:t xml:space="preserve">谈判文件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ascii="楷体_GB2312" w:eastAsia="楷体_GB2312"/>
        <w:bCs/>
        <w:sz w:val="21"/>
        <w:szCs w:val="21"/>
      </w:rPr>
    </w:pPr>
  </w:p>
  <w:p>
    <w:pPr>
      <w:pStyle w:val="13"/>
      <w:jc w:val="both"/>
      <w:rPr>
        <w:rFonts w:ascii="楷体_GB2312" w:eastAsia="楷体_GB2312"/>
        <w:bCs/>
        <w:sz w:val="21"/>
        <w:szCs w:val="21"/>
      </w:rPr>
    </w:pPr>
  </w:p>
  <w:p>
    <w:pPr>
      <w:pStyle w:val="13"/>
      <w:jc w:val="both"/>
      <w:rPr>
        <w:rFonts w:ascii="楷体_GB2312" w:eastAsia="楷体_GB2312"/>
        <w:bCs/>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报价文件格式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ascii="楷体_GB2312" w:eastAsia="楷体_GB2312"/>
        <w:bCs/>
        <w:sz w:val="21"/>
        <w:szCs w:val="21"/>
      </w:rPr>
    </w:pPr>
  </w:p>
  <w:p>
    <w:pPr>
      <w:pStyle w:val="13"/>
      <w:jc w:val="both"/>
      <w:rPr>
        <w:rFonts w:ascii="楷体_GB2312" w:eastAsia="楷体_GB2312"/>
        <w:bCs/>
        <w:sz w:val="21"/>
        <w:szCs w:val="21"/>
      </w:rPr>
    </w:pPr>
  </w:p>
  <w:p>
    <w:pPr>
      <w:pStyle w:val="13"/>
      <w:jc w:val="both"/>
      <w:rPr>
        <w:rFonts w:ascii="楷体_GB2312" w:hAnsi="华文中宋" w:eastAsia="楷体_GB2312"/>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报价文件格式</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ascii="楷体_GB2312" w:eastAsia="楷体_GB2312"/>
        <w:bCs/>
        <w:sz w:val="21"/>
        <w:szCs w:val="21"/>
      </w:rPr>
    </w:pPr>
  </w:p>
  <w:p>
    <w:pPr>
      <w:pStyle w:val="13"/>
      <w:jc w:val="both"/>
      <w:rPr>
        <w:rFonts w:ascii="楷体_GB2312" w:eastAsia="楷体_GB2312"/>
        <w:bCs/>
        <w:sz w:val="21"/>
        <w:szCs w:val="21"/>
      </w:rPr>
    </w:pPr>
  </w:p>
  <w:p>
    <w:pPr>
      <w:pStyle w:val="13"/>
      <w:jc w:val="both"/>
      <w:rPr>
        <w:rFonts w:ascii="楷体_GB2312" w:hAnsi="华文中宋" w:eastAsia="楷体_GB2312"/>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66A35"/>
    <w:multiLevelType w:val="multilevel"/>
    <w:tmpl w:val="0CF66A35"/>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DDB2D9C"/>
    <w:multiLevelType w:val="multilevel"/>
    <w:tmpl w:val="3DDB2D9C"/>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97"/>
  <w:drawingGridVerticalSpacing w:val="20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2753B"/>
    <w:rsid w:val="00027CF2"/>
    <w:rsid w:val="00037330"/>
    <w:rsid w:val="000404BD"/>
    <w:rsid w:val="00040F12"/>
    <w:rsid w:val="000532D8"/>
    <w:rsid w:val="00054C92"/>
    <w:rsid w:val="00057277"/>
    <w:rsid w:val="00057EC1"/>
    <w:rsid w:val="000627B8"/>
    <w:rsid w:val="00064303"/>
    <w:rsid w:val="00071DFE"/>
    <w:rsid w:val="00082A64"/>
    <w:rsid w:val="00094D66"/>
    <w:rsid w:val="0009631F"/>
    <w:rsid w:val="000A16A1"/>
    <w:rsid w:val="000A2365"/>
    <w:rsid w:val="000A47EE"/>
    <w:rsid w:val="000A574E"/>
    <w:rsid w:val="000B6DC5"/>
    <w:rsid w:val="000C05CF"/>
    <w:rsid w:val="000D1A63"/>
    <w:rsid w:val="000D6D49"/>
    <w:rsid w:val="000E0A41"/>
    <w:rsid w:val="000E1371"/>
    <w:rsid w:val="000E203F"/>
    <w:rsid w:val="000E24CF"/>
    <w:rsid w:val="000E58DC"/>
    <w:rsid w:val="000F19EE"/>
    <w:rsid w:val="000F68D1"/>
    <w:rsid w:val="00101A4E"/>
    <w:rsid w:val="001146EE"/>
    <w:rsid w:val="0011544D"/>
    <w:rsid w:val="001175A3"/>
    <w:rsid w:val="00126E2A"/>
    <w:rsid w:val="00134871"/>
    <w:rsid w:val="00140433"/>
    <w:rsid w:val="00141DF3"/>
    <w:rsid w:val="00146B8C"/>
    <w:rsid w:val="00151352"/>
    <w:rsid w:val="00151D52"/>
    <w:rsid w:val="00153547"/>
    <w:rsid w:val="00154A37"/>
    <w:rsid w:val="00156746"/>
    <w:rsid w:val="00162BA1"/>
    <w:rsid w:val="00165CC1"/>
    <w:rsid w:val="00167E17"/>
    <w:rsid w:val="00172231"/>
    <w:rsid w:val="00174EC9"/>
    <w:rsid w:val="00181015"/>
    <w:rsid w:val="00187861"/>
    <w:rsid w:val="001A083F"/>
    <w:rsid w:val="001A14C3"/>
    <w:rsid w:val="001A345F"/>
    <w:rsid w:val="001A4FD9"/>
    <w:rsid w:val="001B14E3"/>
    <w:rsid w:val="001B7705"/>
    <w:rsid w:val="001D0023"/>
    <w:rsid w:val="001D1B14"/>
    <w:rsid w:val="001E3296"/>
    <w:rsid w:val="001E34F3"/>
    <w:rsid w:val="001E460B"/>
    <w:rsid w:val="00214820"/>
    <w:rsid w:val="00220709"/>
    <w:rsid w:val="00224E5F"/>
    <w:rsid w:val="00226556"/>
    <w:rsid w:val="002425C9"/>
    <w:rsid w:val="002474B3"/>
    <w:rsid w:val="00262C6B"/>
    <w:rsid w:val="00265A44"/>
    <w:rsid w:val="002A09F2"/>
    <w:rsid w:val="002A2C39"/>
    <w:rsid w:val="002A65C6"/>
    <w:rsid w:val="002B6E50"/>
    <w:rsid w:val="002C0F66"/>
    <w:rsid w:val="002C1147"/>
    <w:rsid w:val="002C5CFF"/>
    <w:rsid w:val="002C6A11"/>
    <w:rsid w:val="002D0387"/>
    <w:rsid w:val="002D12A7"/>
    <w:rsid w:val="002D331A"/>
    <w:rsid w:val="002D4DA1"/>
    <w:rsid w:val="002D6D42"/>
    <w:rsid w:val="002E3D9F"/>
    <w:rsid w:val="002F1927"/>
    <w:rsid w:val="002F6C52"/>
    <w:rsid w:val="003027C7"/>
    <w:rsid w:val="00303E33"/>
    <w:rsid w:val="00320218"/>
    <w:rsid w:val="003222A0"/>
    <w:rsid w:val="00326B80"/>
    <w:rsid w:val="00327E47"/>
    <w:rsid w:val="003316B1"/>
    <w:rsid w:val="003407DF"/>
    <w:rsid w:val="003470EC"/>
    <w:rsid w:val="00354E1F"/>
    <w:rsid w:val="00360C37"/>
    <w:rsid w:val="003813C8"/>
    <w:rsid w:val="0038362B"/>
    <w:rsid w:val="00384C3A"/>
    <w:rsid w:val="00387C50"/>
    <w:rsid w:val="0039032C"/>
    <w:rsid w:val="00396F45"/>
    <w:rsid w:val="003A0065"/>
    <w:rsid w:val="003A0B24"/>
    <w:rsid w:val="003B09EC"/>
    <w:rsid w:val="003B09F3"/>
    <w:rsid w:val="003B3BD0"/>
    <w:rsid w:val="003C0056"/>
    <w:rsid w:val="003C64FC"/>
    <w:rsid w:val="003C7F91"/>
    <w:rsid w:val="003F338D"/>
    <w:rsid w:val="003F5B3D"/>
    <w:rsid w:val="004112AF"/>
    <w:rsid w:val="00412E87"/>
    <w:rsid w:val="0041496A"/>
    <w:rsid w:val="004208CD"/>
    <w:rsid w:val="0042225E"/>
    <w:rsid w:val="00430345"/>
    <w:rsid w:val="004350C6"/>
    <w:rsid w:val="00452E89"/>
    <w:rsid w:val="004569F6"/>
    <w:rsid w:val="00456C09"/>
    <w:rsid w:val="00461FFF"/>
    <w:rsid w:val="00463DD9"/>
    <w:rsid w:val="00472CF2"/>
    <w:rsid w:val="00477326"/>
    <w:rsid w:val="004B0444"/>
    <w:rsid w:val="004B75DB"/>
    <w:rsid w:val="004C0035"/>
    <w:rsid w:val="004C3916"/>
    <w:rsid w:val="004E0DFC"/>
    <w:rsid w:val="004E0F38"/>
    <w:rsid w:val="004E18EC"/>
    <w:rsid w:val="004E2C18"/>
    <w:rsid w:val="004E35E3"/>
    <w:rsid w:val="004E6AEB"/>
    <w:rsid w:val="004F142D"/>
    <w:rsid w:val="004F5E12"/>
    <w:rsid w:val="00503A7C"/>
    <w:rsid w:val="00511818"/>
    <w:rsid w:val="005222C3"/>
    <w:rsid w:val="00522CA7"/>
    <w:rsid w:val="00531671"/>
    <w:rsid w:val="00532B1E"/>
    <w:rsid w:val="00533850"/>
    <w:rsid w:val="00534859"/>
    <w:rsid w:val="0054477B"/>
    <w:rsid w:val="00551FC2"/>
    <w:rsid w:val="00554F2D"/>
    <w:rsid w:val="00560BBB"/>
    <w:rsid w:val="00563E2F"/>
    <w:rsid w:val="00564319"/>
    <w:rsid w:val="00564B59"/>
    <w:rsid w:val="00576044"/>
    <w:rsid w:val="00576112"/>
    <w:rsid w:val="00577DD4"/>
    <w:rsid w:val="00584A1E"/>
    <w:rsid w:val="00585142"/>
    <w:rsid w:val="00592C5C"/>
    <w:rsid w:val="005A24EB"/>
    <w:rsid w:val="005A29A0"/>
    <w:rsid w:val="005B13C9"/>
    <w:rsid w:val="005B382F"/>
    <w:rsid w:val="005B5235"/>
    <w:rsid w:val="005C50D9"/>
    <w:rsid w:val="005C5539"/>
    <w:rsid w:val="005D1458"/>
    <w:rsid w:val="005D5EDA"/>
    <w:rsid w:val="005E2274"/>
    <w:rsid w:val="005E6410"/>
    <w:rsid w:val="005F2C28"/>
    <w:rsid w:val="005F3E10"/>
    <w:rsid w:val="00601051"/>
    <w:rsid w:val="006210E0"/>
    <w:rsid w:val="0062692F"/>
    <w:rsid w:val="006325D8"/>
    <w:rsid w:val="00635860"/>
    <w:rsid w:val="00636412"/>
    <w:rsid w:val="00636654"/>
    <w:rsid w:val="006419F8"/>
    <w:rsid w:val="006437F7"/>
    <w:rsid w:val="00643BF5"/>
    <w:rsid w:val="00647E07"/>
    <w:rsid w:val="006508EA"/>
    <w:rsid w:val="006624BA"/>
    <w:rsid w:val="00662CCA"/>
    <w:rsid w:val="006638B8"/>
    <w:rsid w:val="00670479"/>
    <w:rsid w:val="00671A6D"/>
    <w:rsid w:val="006725A4"/>
    <w:rsid w:val="00677854"/>
    <w:rsid w:val="006846E0"/>
    <w:rsid w:val="00692DE9"/>
    <w:rsid w:val="00696F01"/>
    <w:rsid w:val="006979A0"/>
    <w:rsid w:val="006A14FA"/>
    <w:rsid w:val="006A7511"/>
    <w:rsid w:val="006B13AA"/>
    <w:rsid w:val="006B2818"/>
    <w:rsid w:val="006C1884"/>
    <w:rsid w:val="006C1CF4"/>
    <w:rsid w:val="006C6CCF"/>
    <w:rsid w:val="006C6D5D"/>
    <w:rsid w:val="006D2D2E"/>
    <w:rsid w:val="006D61FE"/>
    <w:rsid w:val="006D6637"/>
    <w:rsid w:val="006E2984"/>
    <w:rsid w:val="006E5F9F"/>
    <w:rsid w:val="006E67F2"/>
    <w:rsid w:val="006F15B6"/>
    <w:rsid w:val="006F181B"/>
    <w:rsid w:val="00707914"/>
    <w:rsid w:val="00707FEE"/>
    <w:rsid w:val="007122C0"/>
    <w:rsid w:val="00717C01"/>
    <w:rsid w:val="007264A9"/>
    <w:rsid w:val="0073357E"/>
    <w:rsid w:val="0074178F"/>
    <w:rsid w:val="007500FA"/>
    <w:rsid w:val="00756021"/>
    <w:rsid w:val="0077103A"/>
    <w:rsid w:val="007824F3"/>
    <w:rsid w:val="00791442"/>
    <w:rsid w:val="0079179A"/>
    <w:rsid w:val="0079773B"/>
    <w:rsid w:val="007A278C"/>
    <w:rsid w:val="007A403E"/>
    <w:rsid w:val="007B376E"/>
    <w:rsid w:val="007C03E1"/>
    <w:rsid w:val="007C0768"/>
    <w:rsid w:val="007C0CB8"/>
    <w:rsid w:val="007C3F3E"/>
    <w:rsid w:val="007D1C89"/>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477D"/>
    <w:rsid w:val="0084720F"/>
    <w:rsid w:val="00853C33"/>
    <w:rsid w:val="00856888"/>
    <w:rsid w:val="008642CB"/>
    <w:rsid w:val="00864CD8"/>
    <w:rsid w:val="008729B3"/>
    <w:rsid w:val="00880DAF"/>
    <w:rsid w:val="00882004"/>
    <w:rsid w:val="008A52B6"/>
    <w:rsid w:val="008D583C"/>
    <w:rsid w:val="008E0677"/>
    <w:rsid w:val="008E3548"/>
    <w:rsid w:val="008E43CB"/>
    <w:rsid w:val="008F2ED3"/>
    <w:rsid w:val="008F3C8F"/>
    <w:rsid w:val="008F3D33"/>
    <w:rsid w:val="008F4528"/>
    <w:rsid w:val="008F7856"/>
    <w:rsid w:val="0090127B"/>
    <w:rsid w:val="00903989"/>
    <w:rsid w:val="00916D12"/>
    <w:rsid w:val="00932621"/>
    <w:rsid w:val="00932681"/>
    <w:rsid w:val="009350B3"/>
    <w:rsid w:val="00942048"/>
    <w:rsid w:val="0094231D"/>
    <w:rsid w:val="00946502"/>
    <w:rsid w:val="009466D5"/>
    <w:rsid w:val="009478E9"/>
    <w:rsid w:val="009727C6"/>
    <w:rsid w:val="00977600"/>
    <w:rsid w:val="00977E68"/>
    <w:rsid w:val="00993AD3"/>
    <w:rsid w:val="009942A5"/>
    <w:rsid w:val="009959AD"/>
    <w:rsid w:val="009A1A23"/>
    <w:rsid w:val="009C35C9"/>
    <w:rsid w:val="009C364C"/>
    <w:rsid w:val="009C534C"/>
    <w:rsid w:val="009D2C79"/>
    <w:rsid w:val="009D7580"/>
    <w:rsid w:val="009D7DC2"/>
    <w:rsid w:val="009E5E21"/>
    <w:rsid w:val="009F08F0"/>
    <w:rsid w:val="009F0E89"/>
    <w:rsid w:val="009F28E6"/>
    <w:rsid w:val="009F315B"/>
    <w:rsid w:val="009F7D63"/>
    <w:rsid w:val="00A03B1E"/>
    <w:rsid w:val="00A072CB"/>
    <w:rsid w:val="00A10AA1"/>
    <w:rsid w:val="00A20EFA"/>
    <w:rsid w:val="00A2139C"/>
    <w:rsid w:val="00A22A78"/>
    <w:rsid w:val="00A23F41"/>
    <w:rsid w:val="00A272F7"/>
    <w:rsid w:val="00A27C6B"/>
    <w:rsid w:val="00A45B45"/>
    <w:rsid w:val="00A522F8"/>
    <w:rsid w:val="00A56167"/>
    <w:rsid w:val="00A6539D"/>
    <w:rsid w:val="00A6734F"/>
    <w:rsid w:val="00A829B8"/>
    <w:rsid w:val="00A85F86"/>
    <w:rsid w:val="00A93B99"/>
    <w:rsid w:val="00AA39F0"/>
    <w:rsid w:val="00AA43E5"/>
    <w:rsid w:val="00AB0905"/>
    <w:rsid w:val="00AB444E"/>
    <w:rsid w:val="00AC5A6B"/>
    <w:rsid w:val="00AC74FF"/>
    <w:rsid w:val="00AC7A94"/>
    <w:rsid w:val="00AD20F1"/>
    <w:rsid w:val="00AE4417"/>
    <w:rsid w:val="00AE46A0"/>
    <w:rsid w:val="00AE5AAA"/>
    <w:rsid w:val="00AF4EC1"/>
    <w:rsid w:val="00AF5267"/>
    <w:rsid w:val="00AF7CD4"/>
    <w:rsid w:val="00B01F17"/>
    <w:rsid w:val="00B0405D"/>
    <w:rsid w:val="00B05B52"/>
    <w:rsid w:val="00B0623F"/>
    <w:rsid w:val="00B07E82"/>
    <w:rsid w:val="00B10A6E"/>
    <w:rsid w:val="00B14E99"/>
    <w:rsid w:val="00B242E3"/>
    <w:rsid w:val="00B2575B"/>
    <w:rsid w:val="00B30981"/>
    <w:rsid w:val="00B32656"/>
    <w:rsid w:val="00B40B03"/>
    <w:rsid w:val="00B57CA4"/>
    <w:rsid w:val="00B66C1E"/>
    <w:rsid w:val="00B67EE1"/>
    <w:rsid w:val="00B741B4"/>
    <w:rsid w:val="00B8070C"/>
    <w:rsid w:val="00B81FFF"/>
    <w:rsid w:val="00BA55FB"/>
    <w:rsid w:val="00BB5DEA"/>
    <w:rsid w:val="00BC12B2"/>
    <w:rsid w:val="00BC1727"/>
    <w:rsid w:val="00BD07A7"/>
    <w:rsid w:val="00BD5F97"/>
    <w:rsid w:val="00BD7A73"/>
    <w:rsid w:val="00BD7E70"/>
    <w:rsid w:val="00BE2F4E"/>
    <w:rsid w:val="00BF1317"/>
    <w:rsid w:val="00BF67AD"/>
    <w:rsid w:val="00C0262E"/>
    <w:rsid w:val="00C040B7"/>
    <w:rsid w:val="00C14157"/>
    <w:rsid w:val="00C152D6"/>
    <w:rsid w:val="00C169CE"/>
    <w:rsid w:val="00C37536"/>
    <w:rsid w:val="00C37A4A"/>
    <w:rsid w:val="00C443A8"/>
    <w:rsid w:val="00C464AC"/>
    <w:rsid w:val="00C475A2"/>
    <w:rsid w:val="00C5456B"/>
    <w:rsid w:val="00C64A94"/>
    <w:rsid w:val="00C66B88"/>
    <w:rsid w:val="00C7014A"/>
    <w:rsid w:val="00C76787"/>
    <w:rsid w:val="00C8222E"/>
    <w:rsid w:val="00C834FA"/>
    <w:rsid w:val="00C840DC"/>
    <w:rsid w:val="00C84595"/>
    <w:rsid w:val="00C8795F"/>
    <w:rsid w:val="00C929CC"/>
    <w:rsid w:val="00CB02C8"/>
    <w:rsid w:val="00CB1178"/>
    <w:rsid w:val="00CB37F9"/>
    <w:rsid w:val="00CC1FAE"/>
    <w:rsid w:val="00CD3A99"/>
    <w:rsid w:val="00CD46E0"/>
    <w:rsid w:val="00CE4AC8"/>
    <w:rsid w:val="00CE66D3"/>
    <w:rsid w:val="00D03CBD"/>
    <w:rsid w:val="00D12374"/>
    <w:rsid w:val="00D12ABC"/>
    <w:rsid w:val="00D1746D"/>
    <w:rsid w:val="00D27EB7"/>
    <w:rsid w:val="00D37ADF"/>
    <w:rsid w:val="00D40A20"/>
    <w:rsid w:val="00D47BC2"/>
    <w:rsid w:val="00D51588"/>
    <w:rsid w:val="00D53C28"/>
    <w:rsid w:val="00D675CA"/>
    <w:rsid w:val="00D7048A"/>
    <w:rsid w:val="00D93183"/>
    <w:rsid w:val="00DA3A11"/>
    <w:rsid w:val="00DA6119"/>
    <w:rsid w:val="00DA6CAB"/>
    <w:rsid w:val="00DB0600"/>
    <w:rsid w:val="00DB24F6"/>
    <w:rsid w:val="00DB4E01"/>
    <w:rsid w:val="00DC3285"/>
    <w:rsid w:val="00DD114F"/>
    <w:rsid w:val="00DD189B"/>
    <w:rsid w:val="00DD59E7"/>
    <w:rsid w:val="00DD7F3E"/>
    <w:rsid w:val="00DE0F84"/>
    <w:rsid w:val="00DE1EE3"/>
    <w:rsid w:val="00DE2535"/>
    <w:rsid w:val="00DE45D1"/>
    <w:rsid w:val="00DF28D9"/>
    <w:rsid w:val="00E014C3"/>
    <w:rsid w:val="00E04BC0"/>
    <w:rsid w:val="00E12058"/>
    <w:rsid w:val="00E20928"/>
    <w:rsid w:val="00E21FC5"/>
    <w:rsid w:val="00E26DAD"/>
    <w:rsid w:val="00E3174A"/>
    <w:rsid w:val="00E41380"/>
    <w:rsid w:val="00E439DE"/>
    <w:rsid w:val="00E46E3C"/>
    <w:rsid w:val="00E5386A"/>
    <w:rsid w:val="00E60B3D"/>
    <w:rsid w:val="00E74634"/>
    <w:rsid w:val="00E7484E"/>
    <w:rsid w:val="00E830ED"/>
    <w:rsid w:val="00E838D5"/>
    <w:rsid w:val="00E85BDC"/>
    <w:rsid w:val="00E8648F"/>
    <w:rsid w:val="00E90F02"/>
    <w:rsid w:val="00E9224E"/>
    <w:rsid w:val="00E9244B"/>
    <w:rsid w:val="00E94981"/>
    <w:rsid w:val="00EA0E56"/>
    <w:rsid w:val="00EB77AB"/>
    <w:rsid w:val="00EC3A1C"/>
    <w:rsid w:val="00EC6875"/>
    <w:rsid w:val="00EC796A"/>
    <w:rsid w:val="00EE2BA0"/>
    <w:rsid w:val="00EE4466"/>
    <w:rsid w:val="00F00713"/>
    <w:rsid w:val="00F01F2D"/>
    <w:rsid w:val="00F02BBD"/>
    <w:rsid w:val="00F11CF3"/>
    <w:rsid w:val="00F2462C"/>
    <w:rsid w:val="00F24887"/>
    <w:rsid w:val="00F2646C"/>
    <w:rsid w:val="00F32C5F"/>
    <w:rsid w:val="00F42021"/>
    <w:rsid w:val="00F54271"/>
    <w:rsid w:val="00F54CD2"/>
    <w:rsid w:val="00F5553D"/>
    <w:rsid w:val="00F55708"/>
    <w:rsid w:val="00F61B44"/>
    <w:rsid w:val="00F74336"/>
    <w:rsid w:val="00F75355"/>
    <w:rsid w:val="00F76A38"/>
    <w:rsid w:val="00F77CF0"/>
    <w:rsid w:val="00F94D11"/>
    <w:rsid w:val="00FA4E4F"/>
    <w:rsid w:val="00FB2E1B"/>
    <w:rsid w:val="00FB5116"/>
    <w:rsid w:val="00FB5E65"/>
    <w:rsid w:val="00FC15F7"/>
    <w:rsid w:val="00FC33D8"/>
    <w:rsid w:val="00FD5363"/>
    <w:rsid w:val="00FE133A"/>
    <w:rsid w:val="00FE2A78"/>
    <w:rsid w:val="00FF5ABB"/>
    <w:rsid w:val="00FF768E"/>
    <w:rsid w:val="200121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nhideWhenUsed="0" w:uiPriority="0" w:semiHidden="0"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nhideWhenUsed="0" w:uiPriority="0"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4"/>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5"/>
    <w:semiHidden/>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30"/>
    <w:uiPriority w:val="0"/>
    <w:rPr>
      <w:rFonts w:ascii="Times New Roman" w:hAnsi="Times New Roman" w:eastAsia="宋体" w:cs="Times New Roman"/>
      <w:kern w:val="0"/>
      <w:szCs w:val="24"/>
    </w:rPr>
  </w:style>
  <w:style w:type="paragraph" w:styleId="7">
    <w:name w:val="Body Text Indent"/>
    <w:basedOn w:val="1"/>
    <w:link w:val="29"/>
    <w:uiPriority w:val="0"/>
    <w:pPr>
      <w:ind w:firstLine="555"/>
    </w:pPr>
    <w:rPr>
      <w:rFonts w:ascii="Times New Roman" w:hAnsi="Times New Roman" w:eastAsia="宋体" w:cs="Times New Roman"/>
      <w:kern w:val="0"/>
      <w:sz w:val="24"/>
      <w:szCs w:val="24"/>
    </w:rPr>
  </w:style>
  <w:style w:type="paragraph" w:styleId="8">
    <w:name w:val="Plain Text"/>
    <w:basedOn w:val="1"/>
    <w:link w:val="36"/>
    <w:uiPriority w:val="0"/>
    <w:rPr>
      <w:rFonts w:ascii="宋体" w:hAnsi="Courier New" w:eastAsia="宋体" w:cs="Courier New"/>
      <w:sz w:val="24"/>
      <w:szCs w:val="21"/>
    </w:rPr>
  </w:style>
  <w:style w:type="paragraph" w:styleId="9">
    <w:name w:val="Date"/>
    <w:basedOn w:val="1"/>
    <w:next w:val="1"/>
    <w:link w:val="48"/>
    <w:semiHidden/>
    <w:unhideWhenUsed/>
    <w:uiPriority w:val="99"/>
    <w:pPr>
      <w:ind w:left="100" w:leftChars="2500"/>
    </w:pPr>
  </w:style>
  <w:style w:type="paragraph" w:styleId="10">
    <w:name w:val="Body Text Indent 2"/>
    <w:basedOn w:val="1"/>
    <w:link w:val="28"/>
    <w:uiPriority w:val="0"/>
    <w:pPr>
      <w:spacing w:line="540" w:lineRule="exact"/>
      <w:ind w:firstLine="630"/>
    </w:pPr>
    <w:rPr>
      <w:rFonts w:ascii="Times New Roman" w:hAnsi="Times New Roman" w:eastAsia="宋体" w:cs="Times New Roman"/>
      <w:kern w:val="0"/>
      <w:sz w:val="24"/>
      <w:szCs w:val="24"/>
    </w:rPr>
  </w:style>
  <w:style w:type="paragraph" w:styleId="11">
    <w:name w:val="Balloon Text"/>
    <w:basedOn w:val="1"/>
    <w:link w:val="37"/>
    <w:semiHidden/>
    <w:uiPriority w:val="0"/>
    <w:rPr>
      <w:rFonts w:ascii="Times New Roman" w:hAnsi="Times New Roman" w:eastAsia="宋体" w:cs="Times New Roman"/>
      <w:kern w:val="0"/>
      <w:sz w:val="18"/>
      <w:szCs w:val="18"/>
    </w:rPr>
  </w:style>
  <w:style w:type="paragraph" w:styleId="12">
    <w:name w:val="footer"/>
    <w:basedOn w:val="1"/>
    <w:link w:val="26"/>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3">
    <w:name w:val="header"/>
    <w:basedOn w:val="1"/>
    <w:link w:val="25"/>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4">
    <w:name w:val="toc 1"/>
    <w:basedOn w:val="1"/>
    <w:next w:val="1"/>
    <w:uiPriority w:val="39"/>
    <w:pPr>
      <w:tabs>
        <w:tab w:val="right" w:leader="dot" w:pos="8658"/>
      </w:tabs>
      <w:ind w:left="935" w:leftChars="400"/>
    </w:pPr>
    <w:rPr>
      <w:rFonts w:ascii="Times New Roman" w:hAnsi="Times New Roman" w:eastAsia="宋体" w:cs="Times New Roman"/>
      <w:kern w:val="0"/>
      <w:sz w:val="24"/>
      <w:szCs w:val="24"/>
    </w:rPr>
  </w:style>
  <w:style w:type="paragraph" w:styleId="15">
    <w:name w:val="Body Text 2"/>
    <w:basedOn w:val="1"/>
    <w:link w:val="31"/>
    <w:uiPriority w:val="0"/>
    <w:pPr>
      <w:jc w:val="center"/>
    </w:pPr>
    <w:rPr>
      <w:rFonts w:ascii="Times New Roman" w:hAnsi="Times New Roman" w:eastAsia="宋体" w:cs="Times New Roman"/>
      <w:kern w:val="0"/>
      <w:szCs w:val="24"/>
    </w:rPr>
  </w:style>
  <w:style w:type="paragraph" w:styleId="16">
    <w:name w:val="HTML Preformatted"/>
    <w:basedOn w:val="1"/>
    <w:link w:val="47"/>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Times New Roman"/>
      <w:kern w:val="0"/>
      <w:sz w:val="20"/>
      <w:szCs w:val="20"/>
    </w:rPr>
  </w:style>
  <w:style w:type="paragraph" w:styleId="17">
    <w:name w:val="index 1"/>
    <w:basedOn w:val="1"/>
    <w:next w:val="1"/>
    <w:semiHidden/>
    <w:uiPriority w:val="0"/>
    <w:rPr>
      <w:rFonts w:ascii="Times New Roman" w:hAnsi="Times New Roman" w:eastAsia="宋体" w:cs="Times New Roman"/>
      <w:kern w:val="0"/>
      <w:sz w:val="24"/>
      <w:szCs w:val="24"/>
    </w:rPr>
  </w:style>
  <w:style w:type="table" w:styleId="19">
    <w:name w:val="Table Grid"/>
    <w:basedOn w:val="18"/>
    <w:qFormat/>
    <w:uiPriority w:val="9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1">
    <w:name w:val="page number"/>
    <w:basedOn w:val="20"/>
    <w:uiPriority w:val="0"/>
    <w:rPr>
      <w:rFonts w:cs="Times New Roman"/>
    </w:rPr>
  </w:style>
  <w:style w:type="character" w:styleId="22">
    <w:name w:val="Hyperlink"/>
    <w:basedOn w:val="20"/>
    <w:uiPriority w:val="99"/>
    <w:rPr>
      <w:rFonts w:cs="Times New Roman"/>
      <w:color w:val="0000FF"/>
      <w:u w:val="single"/>
    </w:rPr>
  </w:style>
  <w:style w:type="character" w:customStyle="1" w:styleId="23">
    <w:name w:val="标题 1 Char"/>
    <w:basedOn w:val="20"/>
    <w:link w:val="2"/>
    <w:qFormat/>
    <w:uiPriority w:val="0"/>
    <w:rPr>
      <w:rFonts w:ascii="Times New Roman" w:hAnsi="Times New Roman" w:eastAsia="宋体" w:cs="Times New Roman"/>
      <w:b/>
      <w:bCs/>
      <w:kern w:val="44"/>
      <w:sz w:val="44"/>
      <w:szCs w:val="44"/>
    </w:rPr>
  </w:style>
  <w:style w:type="character" w:customStyle="1" w:styleId="24">
    <w:name w:val="标题 2 Char"/>
    <w:basedOn w:val="20"/>
    <w:link w:val="3"/>
    <w:qFormat/>
    <w:uiPriority w:val="0"/>
    <w:rPr>
      <w:rFonts w:ascii="Arial" w:hAnsi="Arial" w:eastAsia="黑体" w:cs="Times New Roman"/>
      <w:b/>
      <w:kern w:val="0"/>
      <w:sz w:val="32"/>
      <w:szCs w:val="20"/>
    </w:rPr>
  </w:style>
  <w:style w:type="character" w:customStyle="1" w:styleId="25">
    <w:name w:val="页眉 Char"/>
    <w:basedOn w:val="20"/>
    <w:link w:val="13"/>
    <w:qFormat/>
    <w:uiPriority w:val="0"/>
    <w:rPr>
      <w:rFonts w:ascii="Times New Roman" w:hAnsi="Times New Roman" w:eastAsia="宋体" w:cs="Times New Roman"/>
      <w:kern w:val="0"/>
      <w:sz w:val="18"/>
      <w:szCs w:val="18"/>
    </w:rPr>
  </w:style>
  <w:style w:type="character" w:customStyle="1" w:styleId="26">
    <w:name w:val="页脚 Char"/>
    <w:basedOn w:val="20"/>
    <w:link w:val="12"/>
    <w:qFormat/>
    <w:uiPriority w:val="0"/>
    <w:rPr>
      <w:rFonts w:ascii="Times New Roman" w:hAnsi="Times New Roman" w:eastAsia="宋体" w:cs="Times New Roman"/>
      <w:kern w:val="0"/>
      <w:sz w:val="18"/>
      <w:szCs w:val="18"/>
    </w:rPr>
  </w:style>
  <w:style w:type="paragraph" w:customStyle="1" w:styleId="27">
    <w:name w:val="正文文字缩进"/>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8">
    <w:name w:val="正文文本缩进 2 Char"/>
    <w:basedOn w:val="20"/>
    <w:link w:val="10"/>
    <w:uiPriority w:val="0"/>
    <w:rPr>
      <w:rFonts w:ascii="Times New Roman" w:hAnsi="Times New Roman" w:eastAsia="宋体" w:cs="Times New Roman"/>
      <w:kern w:val="0"/>
      <w:sz w:val="24"/>
      <w:szCs w:val="24"/>
    </w:rPr>
  </w:style>
  <w:style w:type="character" w:customStyle="1" w:styleId="29">
    <w:name w:val="正文文本缩进 Char"/>
    <w:basedOn w:val="20"/>
    <w:link w:val="7"/>
    <w:uiPriority w:val="0"/>
    <w:rPr>
      <w:rFonts w:ascii="Times New Roman" w:hAnsi="Times New Roman" w:eastAsia="宋体" w:cs="Times New Roman"/>
      <w:kern w:val="0"/>
      <w:sz w:val="24"/>
      <w:szCs w:val="24"/>
    </w:rPr>
  </w:style>
  <w:style w:type="character" w:customStyle="1" w:styleId="30">
    <w:name w:val="正文文本 Char"/>
    <w:basedOn w:val="20"/>
    <w:link w:val="6"/>
    <w:uiPriority w:val="0"/>
    <w:rPr>
      <w:rFonts w:ascii="Times New Roman" w:hAnsi="Times New Roman" w:eastAsia="宋体" w:cs="Times New Roman"/>
      <w:kern w:val="0"/>
      <w:szCs w:val="24"/>
    </w:rPr>
  </w:style>
  <w:style w:type="character" w:customStyle="1" w:styleId="31">
    <w:name w:val="正文文本 2 Char"/>
    <w:basedOn w:val="20"/>
    <w:link w:val="15"/>
    <w:uiPriority w:val="0"/>
    <w:rPr>
      <w:rFonts w:ascii="Times New Roman" w:hAnsi="Times New Roman" w:eastAsia="宋体" w:cs="Times New Roman"/>
      <w:kern w:val="0"/>
      <w:szCs w:val="24"/>
    </w:rPr>
  </w:style>
  <w:style w:type="paragraph" w:customStyle="1" w:styleId="32">
    <w:name w:val="样式1"/>
    <w:basedOn w:val="2"/>
    <w:uiPriority w:val="0"/>
    <w:pPr>
      <w:spacing w:line="640" w:lineRule="exact"/>
      <w:jc w:val="center"/>
    </w:pPr>
    <w:rPr>
      <w:rFonts w:ascii="方正小标宋简体" w:hAnsi="华文中宋" w:eastAsia="方正小标宋简体"/>
      <w:b w:val="0"/>
    </w:rPr>
  </w:style>
  <w:style w:type="paragraph" w:customStyle="1" w:styleId="33">
    <w:name w:val="样式2"/>
    <w:basedOn w:val="2"/>
    <w:uiPriority w:val="0"/>
    <w:pPr>
      <w:spacing w:line="640" w:lineRule="exact"/>
      <w:jc w:val="center"/>
    </w:pPr>
    <w:rPr>
      <w:rFonts w:ascii="方正小标宋简体" w:hAnsi="华文中宋" w:eastAsia="方正小标宋简体"/>
      <w:b w:val="0"/>
    </w:rPr>
  </w:style>
  <w:style w:type="paragraph" w:customStyle="1" w:styleId="34">
    <w:name w:val="样式3"/>
    <w:basedOn w:val="2"/>
    <w:uiPriority w:val="0"/>
    <w:pPr>
      <w:spacing w:line="640" w:lineRule="exact"/>
      <w:jc w:val="center"/>
    </w:pPr>
    <w:rPr>
      <w:rFonts w:ascii="方正小标宋简体" w:hAnsi="华文中宋" w:eastAsia="方正小标宋简体"/>
      <w:b w:val="0"/>
    </w:rPr>
  </w:style>
  <w:style w:type="character" w:customStyle="1" w:styleId="35">
    <w:name w:val="文档结构图 Char"/>
    <w:basedOn w:val="20"/>
    <w:link w:val="5"/>
    <w:semiHidden/>
    <w:uiPriority w:val="0"/>
    <w:rPr>
      <w:rFonts w:ascii="Times New Roman" w:hAnsi="Times New Roman" w:eastAsia="宋体" w:cs="Times New Roman"/>
      <w:kern w:val="0"/>
      <w:sz w:val="24"/>
      <w:szCs w:val="24"/>
      <w:shd w:val="clear" w:color="auto" w:fill="000080"/>
    </w:rPr>
  </w:style>
  <w:style w:type="character" w:customStyle="1" w:styleId="36">
    <w:name w:val="纯文本 Char"/>
    <w:basedOn w:val="20"/>
    <w:link w:val="8"/>
    <w:uiPriority w:val="0"/>
    <w:rPr>
      <w:rFonts w:ascii="宋体" w:hAnsi="Courier New" w:eastAsia="宋体" w:cs="Courier New"/>
      <w:sz w:val="24"/>
      <w:szCs w:val="21"/>
    </w:rPr>
  </w:style>
  <w:style w:type="character" w:customStyle="1" w:styleId="37">
    <w:name w:val="批注框文本 Char"/>
    <w:basedOn w:val="20"/>
    <w:link w:val="11"/>
    <w:semiHidden/>
    <w:uiPriority w:val="0"/>
    <w:rPr>
      <w:rFonts w:ascii="Times New Roman" w:hAnsi="Times New Roman" w:eastAsia="宋体" w:cs="Times New Roman"/>
      <w:kern w:val="0"/>
      <w:sz w:val="18"/>
      <w:szCs w:val="18"/>
    </w:rPr>
  </w:style>
  <w:style w:type="paragraph" w:customStyle="1" w:styleId="38">
    <w:name w:val="列出段落1"/>
    <w:basedOn w:val="1"/>
    <w:link w:val="42"/>
    <w:uiPriority w:val="0"/>
    <w:pPr>
      <w:widowControl/>
      <w:ind w:left="720" w:firstLine="360"/>
      <w:jc w:val="left"/>
    </w:pPr>
    <w:rPr>
      <w:rFonts w:ascii="Calibri" w:hAnsi="Calibri" w:eastAsia="宋体" w:cs="Times New Roman"/>
      <w:kern w:val="0"/>
      <w:sz w:val="22"/>
      <w:szCs w:val="20"/>
      <w:lang w:eastAsia="en-US"/>
    </w:rPr>
  </w:style>
  <w:style w:type="paragraph" w:customStyle="1" w:styleId="39">
    <w:name w:val="1111111199999"/>
    <w:basedOn w:val="1"/>
    <w:link w:val="40"/>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40">
    <w:name w:val="1111111199999 Char"/>
    <w:link w:val="39"/>
    <w:locked/>
    <w:uiPriority w:val="0"/>
    <w:rPr>
      <w:rFonts w:ascii="Times New Roman" w:hAnsi="Times New Roman" w:eastAsia="宋体" w:cs="Times New Roman"/>
      <w:kern w:val="0"/>
      <w:szCs w:val="20"/>
    </w:rPr>
  </w:style>
  <w:style w:type="character" w:customStyle="1" w:styleId="41">
    <w:name w:val="apple-style-span"/>
    <w:uiPriority w:val="0"/>
  </w:style>
  <w:style w:type="character" w:customStyle="1" w:styleId="42">
    <w:name w:val="List Paragraph Char"/>
    <w:link w:val="38"/>
    <w:locked/>
    <w:uiPriority w:val="0"/>
    <w:rPr>
      <w:rFonts w:ascii="Calibri" w:hAnsi="Calibri" w:eastAsia="宋体" w:cs="Times New Roman"/>
      <w:kern w:val="0"/>
      <w:sz w:val="22"/>
      <w:szCs w:val="20"/>
      <w:lang w:eastAsia="en-US"/>
    </w:rPr>
  </w:style>
  <w:style w:type="paragraph" w:customStyle="1" w:styleId="43">
    <w:name w:val="Char Char Char Char"/>
    <w:basedOn w:val="1"/>
    <w:uiPriority w:val="0"/>
    <w:rPr>
      <w:rFonts w:ascii="Times New Roman" w:hAnsi="Times New Roman" w:eastAsia="宋体" w:cs="Times New Roman"/>
      <w:sz w:val="24"/>
      <w:szCs w:val="36"/>
    </w:rPr>
  </w:style>
  <w:style w:type="character" w:customStyle="1" w:styleId="44">
    <w:name w:val="Char Char4"/>
    <w:locked/>
    <w:uiPriority w:val="0"/>
    <w:rPr>
      <w:rFonts w:ascii="宋体" w:hAnsi="Courier New" w:eastAsia="宋体"/>
      <w:kern w:val="2"/>
      <w:sz w:val="21"/>
      <w:lang w:bidi="ar-SA"/>
    </w:rPr>
  </w:style>
  <w:style w:type="character" w:customStyle="1" w:styleId="45">
    <w:name w:val="样式 (中文) 仿宋_GB2312 三号"/>
    <w:basedOn w:val="20"/>
    <w:uiPriority w:val="0"/>
    <w:rPr>
      <w:rFonts w:hint="eastAsia" w:ascii="仿宋_GB2312" w:eastAsia="仿宋_GB2312"/>
      <w:sz w:val="32"/>
    </w:rPr>
  </w:style>
  <w:style w:type="character" w:customStyle="1" w:styleId="46">
    <w:name w:val="Char Char3"/>
    <w:basedOn w:val="20"/>
    <w:locked/>
    <w:uiPriority w:val="0"/>
    <w:rPr>
      <w:rFonts w:ascii="宋体" w:hAnsi="宋体" w:eastAsia="宋体"/>
      <w:sz w:val="18"/>
      <w:szCs w:val="18"/>
      <w:lang w:val="en-US" w:eastAsia="zh-CN" w:bidi="ar-SA"/>
    </w:rPr>
  </w:style>
  <w:style w:type="character" w:customStyle="1" w:styleId="47">
    <w:name w:val="HTML 预设格式 Char"/>
    <w:basedOn w:val="20"/>
    <w:link w:val="16"/>
    <w:uiPriority w:val="0"/>
    <w:rPr>
      <w:rFonts w:ascii="黑体" w:hAnsi="Courier New" w:eastAsia="黑体" w:cs="Times New Roman"/>
      <w:kern w:val="0"/>
      <w:sz w:val="20"/>
      <w:szCs w:val="20"/>
    </w:rPr>
  </w:style>
  <w:style w:type="character" w:customStyle="1" w:styleId="48">
    <w:name w:val="日期 Char"/>
    <w:basedOn w:val="20"/>
    <w:link w:val="9"/>
    <w:semiHidden/>
    <w:uiPriority w:val="99"/>
  </w:style>
  <w:style w:type="table" w:customStyle="1" w:styleId="49">
    <w:name w:val="网格型2"/>
    <w:basedOn w:val="18"/>
    <w:qFormat/>
    <w:uiPriority w:val="9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50">
    <w:name w:val="网格型61"/>
    <w:basedOn w:val="18"/>
    <w:unhideWhenUsed/>
    <w:uiPriority w:val="99"/>
    <w:rPr>
      <w:rFonts w:ascii="Times New Roman" w:hAnsi="Times New Roman" w:eastAsia="宋体" w:cs="Times New Roman"/>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customStyle="1" w:styleId="51">
    <w:name w:val="网格型64"/>
    <w:basedOn w:val="18"/>
    <w:unhideWhenUsed/>
    <w:qFormat/>
    <w:uiPriority w:val="99"/>
    <w:rPr>
      <w:rFonts w:ascii="Times New Roman" w:hAnsi="Times New Roman" w:eastAsia="宋体" w:cs="Times New Roman"/>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52">
    <w:name w:val="List Paragraph"/>
    <w:basedOn w:val="1"/>
    <w:link w:val="53"/>
    <w:qFormat/>
    <w:uiPriority w:val="34"/>
    <w:pPr>
      <w:widowControl/>
      <w:adjustRightInd w:val="0"/>
      <w:snapToGrid w:val="0"/>
      <w:spacing w:after="200"/>
      <w:ind w:firstLine="420" w:firstLineChars="200"/>
      <w:jc w:val="left"/>
    </w:pPr>
    <w:rPr>
      <w:rFonts w:ascii="Tahoma" w:hAnsi="Tahoma" w:eastAsia="微软雅黑" w:cs="Times New Roman"/>
      <w:kern w:val="0"/>
      <w:sz w:val="22"/>
    </w:rPr>
  </w:style>
  <w:style w:type="character" w:customStyle="1" w:styleId="53">
    <w:name w:val="列出段落 Char"/>
    <w:link w:val="52"/>
    <w:qFormat/>
    <w:uiPriority w:val="34"/>
    <w:rPr>
      <w:rFonts w:ascii="Tahoma" w:hAnsi="Tahoma" w:eastAsia="微软雅黑" w:cs="Times New Roman"/>
      <w:kern w:val="0"/>
      <w:sz w:val="22"/>
    </w:rPr>
  </w:style>
  <w:style w:type="table" w:customStyle="1" w:styleId="54">
    <w:name w:val="网格型76"/>
    <w:basedOn w:val="18"/>
    <w:unhideWhenUsed/>
    <w:qFormat/>
    <w:uiPriority w:val="99"/>
    <w:rPr>
      <w:rFonts w:ascii="Times New Roman" w:hAnsi="Times New Roman" w:eastAsia="宋体" w:cs="Times New Roman"/>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32"/>
    <customShpInfo spid="_x0000_s1031"/>
    <customShpInfo spid="_x0000_s1034"/>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A1896A-EF6A-4E98-B424-C82BFE72D25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65</Pages>
  <Words>4572</Words>
  <Characters>26062</Characters>
  <Lines>217</Lines>
  <Paragraphs>61</Paragraphs>
  <TotalTime>0</TotalTime>
  <ScaleCrop>false</ScaleCrop>
  <LinksUpToDate>false</LinksUpToDate>
  <CharactersWithSpaces>30573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2020-08-24T08:08:00Z</dcterms:created>
  <dc:creator>Administrator</dc:creator>
  <cp:lastModifiedBy>Administrator</cp:lastModifiedBy>
  <cp:lastPrinted>2020-08-24T08:08:00Z</cp:lastPrinted>
  <dcterms:modified xsi:type="dcterms:W3CDTF">2020-12-09T07:58:14Z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