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硬性输尿管镜</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2020-JL13(03)-W10106</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硬性输尿管镜</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val="en-US" w:eastAsia="zh-CN"/>
        </w:rPr>
        <w:t xml:space="preserve">2020-JL13(03)-W10106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硬性输尿管镜</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2020-JL13(03)-W10106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硬性输尿管镜</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2</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（八）具备生产许可证、特许经营许可证、医疗器械注册证、质量管理体系认证、</w:t>
      </w:r>
      <w:r>
        <w:rPr>
          <w:rFonts w:cs="Times New Roman" w:asciiTheme="minorEastAsia" w:hAnsiTheme="minorEastAsia"/>
          <w:color w:val="auto"/>
          <w:kern w:val="0"/>
          <w:sz w:val="24"/>
          <w:szCs w:val="24"/>
        </w:rPr>
        <w:t>3C</w:t>
      </w:r>
      <w:r>
        <w:rPr>
          <w:rFonts w:hint="eastAsia" w:cs="Times New Roman" w:asciiTheme="minorEastAsia" w:hAnsiTheme="minorEastAsia"/>
          <w:color w:val="auto"/>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w:t>
      </w:r>
      <w:bookmarkStart w:id="24" w:name="_GoBack"/>
      <w:bookmarkEnd w:id="24"/>
      <w:r>
        <w:rPr>
          <w:rFonts w:hint="eastAsia" w:cs="Times New Roman" w:asciiTheme="minorEastAsia" w:hAnsiTheme="minorEastAsia"/>
          <w:kern w:val="0"/>
          <w:sz w:val="24"/>
          <w:szCs w:val="24"/>
        </w:rPr>
        <w:t>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31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硬性输尿管镜</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硬性输尿管镜</w:t>
      </w:r>
      <w:r>
        <w:rPr>
          <w:rFonts w:hint="eastAsia" w:ascii="宋体" w:hAnsi="宋体" w:eastAsia="宋体" w:cs="宋体"/>
          <w:bCs/>
          <w:kern w:val="0"/>
          <w:sz w:val="32"/>
          <w:szCs w:val="32"/>
        </w:rPr>
        <w:t>技术要求</w:t>
      </w:r>
    </w:p>
    <w:tbl>
      <w:tblPr>
        <w:tblStyle w:val="17"/>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184"/>
        <w:gridCol w:w="42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09"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18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w:t>
            </w:r>
          </w:p>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名称</w:t>
            </w:r>
          </w:p>
        </w:tc>
        <w:tc>
          <w:tcPr>
            <w:tcW w:w="4226"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41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9" w:type="dxa"/>
            <w:vAlign w:val="center"/>
          </w:tcPr>
          <w:p>
            <w:pPr>
              <w:widowControl/>
              <w:jc w:val="both"/>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184"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226" w:type="dxa"/>
            <w:vAlign w:val="center"/>
          </w:tcPr>
          <w:p>
            <w:pPr>
              <w:widowControl/>
              <w:jc w:val="left"/>
              <w:rPr>
                <w:rFonts w:cs="Times New Roman" w:asciiTheme="majorEastAsia" w:hAnsiTheme="majorEastAsia" w:eastAsiaTheme="majorEastAsia"/>
                <w:b/>
                <w:bCs/>
                <w:kern w:val="0"/>
                <w:szCs w:val="21"/>
              </w:rPr>
            </w:pPr>
          </w:p>
        </w:tc>
        <w:tc>
          <w:tcPr>
            <w:tcW w:w="141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用于观察输尿管内的病变，如结石、肿瘤、狭窄、息肉等，并可进行相应的诊断和治疗</w:t>
            </w:r>
          </w:p>
        </w:tc>
        <w:tc>
          <w:tcPr>
            <w:tcW w:w="1416" w:type="dxa"/>
            <w:vAlign w:val="center"/>
          </w:tcPr>
          <w:p>
            <w:pPr>
              <w:widowControl/>
              <w:jc w:val="both"/>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9" w:type="dxa"/>
            <w:shd w:val="clear" w:color="000000" w:fill="auto"/>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18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color w:val="000000"/>
                <w:kern w:val="0"/>
                <w:szCs w:val="21"/>
              </w:rPr>
              <w:t>实验对象</w:t>
            </w:r>
          </w:p>
        </w:tc>
        <w:tc>
          <w:tcPr>
            <w:tcW w:w="4226" w:type="dxa"/>
            <w:shd w:val="clear" w:color="000000" w:fill="auto"/>
            <w:vAlign w:val="center"/>
          </w:tcPr>
          <w:p>
            <w:pPr>
              <w:keepNext w:val="0"/>
              <w:keepLines w:val="0"/>
              <w:pageBreakBefore w:val="0"/>
              <w:kinsoku/>
              <w:wordWrap/>
              <w:overflowPunct/>
              <w:topLinePunct w:val="0"/>
              <w:autoSpaceDE/>
              <w:autoSpaceDN/>
              <w:bidi w:val="0"/>
              <w:adjustRightInd/>
              <w:snapToGrid/>
              <w:spacing w:before="156" w:beforeLines="50" w:line="440" w:lineRule="exact"/>
              <w:jc w:val="left"/>
              <w:textAlignment w:val="auto"/>
              <w:rPr>
                <w:rFonts w:cs="Times New Roman" w:asciiTheme="majorEastAsia" w:hAnsiTheme="majorEastAsia" w:eastAsiaTheme="majorEastAsia"/>
                <w:szCs w:val="21"/>
              </w:rPr>
            </w:pPr>
          </w:p>
        </w:tc>
        <w:tc>
          <w:tcPr>
            <w:tcW w:w="1416"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09" w:type="dxa"/>
            <w:shd w:val="clear" w:color="000000" w:fill="auto"/>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184"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226" w:type="dxa"/>
            <w:shd w:val="clear" w:color="000000" w:fill="auto"/>
            <w:vAlign w:val="center"/>
          </w:tcPr>
          <w:p>
            <w:pPr>
              <w:widowControl/>
              <w:jc w:val="both"/>
              <w:rPr>
                <w:rFonts w:cs="Times New Roman" w:asciiTheme="majorEastAsia" w:hAnsiTheme="majorEastAsia" w:eastAsiaTheme="majorEastAsia"/>
                <w:bCs/>
                <w:kern w:val="0"/>
                <w:szCs w:val="21"/>
              </w:rPr>
            </w:pPr>
            <w:r>
              <w:rPr>
                <w:rFonts w:hint="eastAsia" w:cs="Times New Roman" w:asciiTheme="majorEastAsia" w:hAnsiTheme="majorEastAsia" w:eastAsiaTheme="majorEastAsia"/>
                <w:bCs/>
                <w:kern w:val="0"/>
                <w:szCs w:val="21"/>
              </w:rPr>
              <w:t>配合主机实现特殊光观测</w:t>
            </w:r>
          </w:p>
        </w:tc>
        <w:tc>
          <w:tcPr>
            <w:tcW w:w="1416" w:type="dxa"/>
            <w:shd w:val="clear" w:color="000000" w:fill="auto"/>
            <w:vAlign w:val="center"/>
          </w:tcPr>
          <w:p>
            <w:pPr>
              <w:widowControl/>
              <w:jc w:val="both"/>
              <w:rPr>
                <w:rFonts w:cs="Times New Roman" w:asciiTheme="majorEastAsia" w:hAnsiTheme="majorEastAsia" w:eastAsiaTheme="majorEastAsia"/>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9" w:type="dxa"/>
            <w:vAlign w:val="center"/>
          </w:tcPr>
          <w:p>
            <w:pPr>
              <w:widowControl/>
              <w:jc w:val="both"/>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p>
        </w:tc>
        <w:tc>
          <w:tcPr>
            <w:tcW w:w="141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与科室现有设备OLYMPUS内窥镜系统OTV-S7配套使用</w:t>
            </w:r>
          </w:p>
        </w:tc>
        <w:tc>
          <w:tcPr>
            <w:tcW w:w="1416" w:type="dxa"/>
            <w:vAlign w:val="center"/>
          </w:tcPr>
          <w:p>
            <w:pPr>
              <w:spacing w:line="2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8.6-9.8Fr×430mm，6.4Fr器械通道</w:t>
            </w:r>
          </w:p>
        </w:tc>
        <w:tc>
          <w:tcPr>
            <w:tcW w:w="141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参数3</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配合主机实现NBI特殊光观测</w:t>
            </w:r>
          </w:p>
        </w:tc>
        <w:tc>
          <w:tcPr>
            <w:tcW w:w="141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09" w:type="dxa"/>
            <w:vAlign w:val="center"/>
          </w:tcPr>
          <w:p>
            <w:pPr>
              <w:widowControl/>
              <w:jc w:val="both"/>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szCs w:val="21"/>
              </w:rPr>
            </w:pPr>
            <w:r>
              <w:rPr>
                <w:rFonts w:hint="eastAsia"/>
                <w:szCs w:val="21"/>
              </w:rPr>
              <w:t>视野方向</w:t>
            </w:r>
            <w:r>
              <w:rPr>
                <w:szCs w:val="21"/>
              </w:rPr>
              <w:t>7</w:t>
            </w:r>
            <w:r>
              <w:rPr>
                <w:rFonts w:hint="eastAsia"/>
                <w:szCs w:val="21"/>
              </w:rPr>
              <w:t>°，带斜形接目镜</w:t>
            </w:r>
          </w:p>
        </w:tc>
        <w:tc>
          <w:tcPr>
            <w:tcW w:w="1416" w:type="dxa"/>
            <w:vAlign w:val="center"/>
          </w:tcPr>
          <w:p>
            <w:pPr>
              <w:widowControl/>
              <w:jc w:val="center"/>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参数5</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50000导像纤维零颗粒感视野</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支持高温高压灭菌</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18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226" w:type="dxa"/>
            <w:vAlign w:val="center"/>
          </w:tcPr>
          <w:p>
            <w:pPr>
              <w:pStyle w:val="46"/>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rPr>
                <w:rFonts w:asciiTheme="majorEastAsia" w:hAnsiTheme="majorEastAsia" w:eastAsiaTheme="majorEastAsia"/>
                <w:szCs w:val="21"/>
              </w:rPr>
            </w:pPr>
            <w:r>
              <w:rPr>
                <w:rFonts w:hint="eastAsia" w:asciiTheme="majorEastAsia" w:hAnsiTheme="majorEastAsia" w:eastAsiaTheme="majorEastAsia"/>
                <w:szCs w:val="21"/>
              </w:rPr>
              <w:t>防损伤先端设计，人机工程学设计</w:t>
            </w:r>
          </w:p>
        </w:tc>
        <w:tc>
          <w:tcPr>
            <w:tcW w:w="141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9"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ind w:firstLine="201" w:firstLineChars="100"/>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226"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硬性输尿管镜</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9"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b/>
                <w:bCs/>
                <w:kern w:val="0"/>
                <w:szCs w:val="21"/>
              </w:rPr>
            </w:pPr>
          </w:p>
        </w:tc>
        <w:tc>
          <w:tcPr>
            <w:tcW w:w="141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≥3年</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维修到达现场时间≤24小时（外地）</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提供维修专用工具1套</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41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09"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184"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226"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416" w:type="dxa"/>
            <w:vAlign w:val="center"/>
          </w:tcPr>
          <w:p>
            <w:pPr>
              <w:widowControl/>
              <w:jc w:val="center"/>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90713968"/>
      <w:bookmarkStart w:id="10" w:name="_Toc37172689"/>
      <w:bookmarkStart w:id="11" w:name="_Toc435540980"/>
      <w:bookmarkStart w:id="12" w:name="_Toc285612601"/>
      <w:bookmarkStart w:id="13" w:name="_Toc24043223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cs="Times New Roman" w:asciiTheme="majorEastAsia" w:hAnsiTheme="majorEastAsia" w:eastAsiaTheme="majorEastAsia"/>
                <w:szCs w:val="21"/>
              </w:rPr>
              <w:t>与科室现有设备OLYMPUS内窥镜系统OTV-S7配套使用</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w:t>
            </w:r>
            <w:r>
              <w:rPr>
                <w:rFonts w:hint="eastAsia" w:asciiTheme="majorEastAsia" w:hAnsiTheme="majorEastAsia" w:eastAsiaTheme="majorEastAsia"/>
                <w:szCs w:val="21"/>
              </w:rPr>
              <w:t>8.6-9.8Fr×430mm，6.4Fr器械通道</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lang w:val="en-US" w:eastAsia="zh-CN"/>
              </w:rPr>
              <w:t xml:space="preserve"> </w:t>
            </w:r>
            <w:r>
              <w:rPr>
                <w:rFonts w:hint="eastAsia" w:cs="Times New Roman" w:asciiTheme="majorEastAsia" w:hAnsiTheme="majorEastAsia" w:eastAsiaTheme="majorEastAsia"/>
                <w:szCs w:val="21"/>
              </w:rPr>
              <w:t>配合主机实现NBI特殊光观测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lang w:val="en-US" w:eastAsia="zh-CN"/>
              </w:rPr>
              <w:t xml:space="preserve"> </w:t>
            </w:r>
            <w:r>
              <w:rPr>
                <w:rFonts w:hint="eastAsia"/>
                <w:szCs w:val="21"/>
              </w:rPr>
              <w:t>视野方向</w:t>
            </w:r>
            <w:r>
              <w:rPr>
                <w:szCs w:val="21"/>
              </w:rPr>
              <w:t>7</w:t>
            </w:r>
            <w:r>
              <w:rPr>
                <w:rFonts w:hint="eastAsia"/>
                <w:szCs w:val="21"/>
              </w:rPr>
              <w:t>°，带斜形接目镜</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50000导像纤维零颗粒感视野</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支持高温高压灭菌</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Theme="majorEastAsia" w:hAnsiTheme="majorEastAsia" w:eastAsiaTheme="majorEastAsia"/>
                <w:szCs w:val="21"/>
              </w:rPr>
              <w:t>防损伤先端设计，人机工程学设计</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40432233"/>
      <w:bookmarkStart w:id="19" w:name="_Toc37172691"/>
      <w:bookmarkStart w:id="20" w:name="_Toc390713970"/>
      <w:bookmarkStart w:id="21" w:name="_Toc285612604"/>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33324A6"/>
    <w:rsid w:val="03E126A6"/>
    <w:rsid w:val="041D194C"/>
    <w:rsid w:val="04955253"/>
    <w:rsid w:val="064332C6"/>
    <w:rsid w:val="067A3119"/>
    <w:rsid w:val="06830E44"/>
    <w:rsid w:val="06C94276"/>
    <w:rsid w:val="06D16F15"/>
    <w:rsid w:val="0A420080"/>
    <w:rsid w:val="0B02729F"/>
    <w:rsid w:val="0BC62AE5"/>
    <w:rsid w:val="0C2566DD"/>
    <w:rsid w:val="0CAA5D47"/>
    <w:rsid w:val="0D121C1D"/>
    <w:rsid w:val="0D9909F1"/>
    <w:rsid w:val="0F331617"/>
    <w:rsid w:val="11284A21"/>
    <w:rsid w:val="11541522"/>
    <w:rsid w:val="11C85FD8"/>
    <w:rsid w:val="11FF6018"/>
    <w:rsid w:val="14004E84"/>
    <w:rsid w:val="15DF701E"/>
    <w:rsid w:val="16012CAE"/>
    <w:rsid w:val="18351273"/>
    <w:rsid w:val="183541D9"/>
    <w:rsid w:val="189719E2"/>
    <w:rsid w:val="18B472AB"/>
    <w:rsid w:val="198752E3"/>
    <w:rsid w:val="1A4F3B62"/>
    <w:rsid w:val="1A594715"/>
    <w:rsid w:val="1B4B3AE5"/>
    <w:rsid w:val="1BE31596"/>
    <w:rsid w:val="1C2C4C02"/>
    <w:rsid w:val="1C7A2898"/>
    <w:rsid w:val="1DB052EA"/>
    <w:rsid w:val="1EAD51F4"/>
    <w:rsid w:val="1F354454"/>
    <w:rsid w:val="200C6281"/>
    <w:rsid w:val="219D3231"/>
    <w:rsid w:val="21C96FB4"/>
    <w:rsid w:val="21F8648F"/>
    <w:rsid w:val="224B623D"/>
    <w:rsid w:val="229912DA"/>
    <w:rsid w:val="22E97F72"/>
    <w:rsid w:val="25826B10"/>
    <w:rsid w:val="26214B31"/>
    <w:rsid w:val="27B31271"/>
    <w:rsid w:val="291E3C98"/>
    <w:rsid w:val="298F7AD3"/>
    <w:rsid w:val="2B053A90"/>
    <w:rsid w:val="2B090C6C"/>
    <w:rsid w:val="2B3A6BED"/>
    <w:rsid w:val="2D62567B"/>
    <w:rsid w:val="2DC40F45"/>
    <w:rsid w:val="2E764DFD"/>
    <w:rsid w:val="2EC422DA"/>
    <w:rsid w:val="2F7F6382"/>
    <w:rsid w:val="2FA052A5"/>
    <w:rsid w:val="2FBB458C"/>
    <w:rsid w:val="2FF006C6"/>
    <w:rsid w:val="3098742D"/>
    <w:rsid w:val="309C4094"/>
    <w:rsid w:val="30FB0A5B"/>
    <w:rsid w:val="31526B37"/>
    <w:rsid w:val="315B33F8"/>
    <w:rsid w:val="328320CB"/>
    <w:rsid w:val="328B5C60"/>
    <w:rsid w:val="32D466E7"/>
    <w:rsid w:val="33D05B68"/>
    <w:rsid w:val="340E3DC7"/>
    <w:rsid w:val="346575EC"/>
    <w:rsid w:val="36FD07A2"/>
    <w:rsid w:val="39DE010D"/>
    <w:rsid w:val="39F573D6"/>
    <w:rsid w:val="3AF419D6"/>
    <w:rsid w:val="3BEC26C8"/>
    <w:rsid w:val="3C0D782A"/>
    <w:rsid w:val="3C9E3B9A"/>
    <w:rsid w:val="3CB9338E"/>
    <w:rsid w:val="3DD605AE"/>
    <w:rsid w:val="3EB024A2"/>
    <w:rsid w:val="3F024310"/>
    <w:rsid w:val="40C63911"/>
    <w:rsid w:val="40DD4E52"/>
    <w:rsid w:val="41E30BDA"/>
    <w:rsid w:val="43627676"/>
    <w:rsid w:val="439766DA"/>
    <w:rsid w:val="43EA7AD4"/>
    <w:rsid w:val="45707B83"/>
    <w:rsid w:val="458C276C"/>
    <w:rsid w:val="45E600C6"/>
    <w:rsid w:val="46322539"/>
    <w:rsid w:val="466F69A0"/>
    <w:rsid w:val="46720261"/>
    <w:rsid w:val="46B9109B"/>
    <w:rsid w:val="485F0391"/>
    <w:rsid w:val="486C6D51"/>
    <w:rsid w:val="48B040EA"/>
    <w:rsid w:val="48FA5509"/>
    <w:rsid w:val="49525463"/>
    <w:rsid w:val="499F1CDB"/>
    <w:rsid w:val="4A1165E4"/>
    <w:rsid w:val="4A1B35FE"/>
    <w:rsid w:val="4A4E73DE"/>
    <w:rsid w:val="4D6A6ECD"/>
    <w:rsid w:val="4DCD2A8E"/>
    <w:rsid w:val="4ED40801"/>
    <w:rsid w:val="51380BE4"/>
    <w:rsid w:val="5194774A"/>
    <w:rsid w:val="51CB62D1"/>
    <w:rsid w:val="522D36EC"/>
    <w:rsid w:val="52A20EB5"/>
    <w:rsid w:val="52D865F6"/>
    <w:rsid w:val="53625109"/>
    <w:rsid w:val="54AB0B77"/>
    <w:rsid w:val="54C57068"/>
    <w:rsid w:val="54F2243C"/>
    <w:rsid w:val="575B1361"/>
    <w:rsid w:val="582B198D"/>
    <w:rsid w:val="58787FB2"/>
    <w:rsid w:val="58FF3358"/>
    <w:rsid w:val="596D0F8A"/>
    <w:rsid w:val="59800CAA"/>
    <w:rsid w:val="59926D52"/>
    <w:rsid w:val="59F101D8"/>
    <w:rsid w:val="5A16796E"/>
    <w:rsid w:val="5AFB448F"/>
    <w:rsid w:val="5B6428FE"/>
    <w:rsid w:val="5BB55DA5"/>
    <w:rsid w:val="5C144D36"/>
    <w:rsid w:val="5D390F6C"/>
    <w:rsid w:val="5D3C4CB9"/>
    <w:rsid w:val="5DC573BD"/>
    <w:rsid w:val="5E6B5A7B"/>
    <w:rsid w:val="5F2A3616"/>
    <w:rsid w:val="613E6AB3"/>
    <w:rsid w:val="615D742E"/>
    <w:rsid w:val="61A905DA"/>
    <w:rsid w:val="61B736A3"/>
    <w:rsid w:val="63930BB5"/>
    <w:rsid w:val="640445A5"/>
    <w:rsid w:val="659D6345"/>
    <w:rsid w:val="65A504AE"/>
    <w:rsid w:val="660266E0"/>
    <w:rsid w:val="666F78CB"/>
    <w:rsid w:val="66D31A2D"/>
    <w:rsid w:val="67220921"/>
    <w:rsid w:val="679474C9"/>
    <w:rsid w:val="685F53AF"/>
    <w:rsid w:val="687658AF"/>
    <w:rsid w:val="69C15115"/>
    <w:rsid w:val="69FD7C6B"/>
    <w:rsid w:val="6A9E2400"/>
    <w:rsid w:val="6B1934B5"/>
    <w:rsid w:val="6B243A62"/>
    <w:rsid w:val="6B322305"/>
    <w:rsid w:val="6CC87D37"/>
    <w:rsid w:val="6CD533D7"/>
    <w:rsid w:val="6D376E02"/>
    <w:rsid w:val="6DD2687A"/>
    <w:rsid w:val="6EE7352E"/>
    <w:rsid w:val="70C646B8"/>
    <w:rsid w:val="720A4994"/>
    <w:rsid w:val="726505F0"/>
    <w:rsid w:val="729748CC"/>
    <w:rsid w:val="729A710D"/>
    <w:rsid w:val="73462118"/>
    <w:rsid w:val="73510411"/>
    <w:rsid w:val="74076F62"/>
    <w:rsid w:val="76472EDE"/>
    <w:rsid w:val="76CC7807"/>
    <w:rsid w:val="771E4DD1"/>
    <w:rsid w:val="77F557B0"/>
    <w:rsid w:val="78321C0B"/>
    <w:rsid w:val="786D3869"/>
    <w:rsid w:val="78F71C6E"/>
    <w:rsid w:val="7AF91DCA"/>
    <w:rsid w:val="7AFC2431"/>
    <w:rsid w:val="7B652B65"/>
    <w:rsid w:val="7C7B2290"/>
    <w:rsid w:val="7E483109"/>
    <w:rsid w:val="7ECA41E2"/>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2</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2020-12-25T00:33:00Z</cp:lastPrinted>
  <dcterms:modified xsi:type="dcterms:W3CDTF">2020-12-31T08:56:20Z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