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高端病人监护仪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2020-JL13(03)-W10081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关于高端病人监护仪的采购</w:t>
      </w:r>
      <w:r>
        <w:rPr>
          <w:rFonts w:ascii="Tahoma" w:hAnsi="Tahoma" w:cs="Tahoma"/>
          <w:b/>
          <w:bCs/>
          <w:kern w:val="0"/>
          <w:sz w:val="28"/>
          <w:szCs w:val="28"/>
        </w:rPr>
        <w:t>公告</w:t>
      </w:r>
      <w:r>
        <w:rPr>
          <w:rFonts w:hint="eastAsia" w:ascii="Tahoma" w:hAnsi="Tahoma" w:cs="Tahoma"/>
          <w:kern w:val="0"/>
          <w:sz w:val="28"/>
          <w:szCs w:val="28"/>
        </w:rPr>
        <w:t>2020-JL13(03)-W10081</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高端病人监护仪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2020-JL13(03)-W10081</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szCs w:val="21"/>
              </w:rPr>
            </w:pPr>
            <w:r>
              <w:rPr>
                <w:rFonts w:hint="eastAsia" w:cs="Times New Roman" w:asciiTheme="minorEastAsia" w:hAnsiTheme="minorEastAsia"/>
                <w:szCs w:val="21"/>
              </w:rPr>
              <w:t>高端病人</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7</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7</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bookmarkStart w:id="24" w:name="_GoBack"/>
      <w:bookmarkEnd w:id="24"/>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17</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7172688"/>
      <w:bookmarkStart w:id="5" w:name="_Toc435540979"/>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sz w:val="21"/>
                <w:szCs w:val="21"/>
              </w:rPr>
              <w:t>高端病人监护仪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30"/>
        <w:gridCol w:w="3852"/>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序号</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技术和性能参数名称</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技术参数和性能要求</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1</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设备使用需求</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主要用于连续监测手术病人生命体征，包括心电、血氧、无创血压、有创血压辅助判断病人情况</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1.1</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设备用途</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对患者进行实时生命体征监测</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1.2</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使用对象</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b/>
                <w:sz w:val="21"/>
                <w:szCs w:val="21"/>
              </w:rPr>
            </w:pPr>
            <w:r>
              <w:rPr>
                <w:rFonts w:asciiTheme="minorEastAsia" w:hAnsiTheme="minorEastAsia" w:cstheme="minorHAnsi"/>
                <w:sz w:val="21"/>
                <w:szCs w:val="21"/>
              </w:rPr>
              <w:t>全年龄段患者</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2</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主要技术参数</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参数1</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屏幕尺寸≥19英寸，</w:t>
            </w:r>
            <w:r>
              <w:rPr>
                <w:rFonts w:asciiTheme="minorEastAsia" w:hAnsiTheme="minorEastAsia" w:cstheme="minorHAnsi"/>
                <w:sz w:val="21"/>
                <w:szCs w:val="21"/>
              </w:rPr>
              <w:t>触摸屏</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2.2</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参数2</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 w:val="21"/>
                <w:szCs w:val="21"/>
              </w:rPr>
            </w:pPr>
            <w:r>
              <w:rPr>
                <w:rFonts w:asciiTheme="minorEastAsia" w:hAnsiTheme="minorEastAsia" w:cstheme="minorHAnsi"/>
                <w:sz w:val="21"/>
                <w:szCs w:val="21"/>
              </w:rPr>
              <w:t>可同时监测心电、呼吸、血氧饱和度、脉搏、无创血压</w:t>
            </w:r>
            <w:r>
              <w:rPr>
                <w:rFonts w:hint="eastAsia" w:asciiTheme="minorEastAsia" w:hAnsiTheme="minorEastAsia" w:cstheme="minorHAnsi"/>
                <w:sz w:val="21"/>
                <w:szCs w:val="21"/>
              </w:rPr>
              <w:t>、三有创、双温度、呼气末二氧化碳、转运模块、分屏显示、打印机</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2.3</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参数3</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12导联实时ECG和12导联ST值同屏显示，并且实时更新</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2.4</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参数4</w:t>
            </w:r>
          </w:p>
        </w:tc>
        <w:tc>
          <w:tcPr>
            <w:tcW w:w="3852" w:type="dxa"/>
            <w:vAlign w:val="center"/>
          </w:tcPr>
          <w:p>
            <w:pPr>
              <w:keepNext w:val="0"/>
              <w:keepLines w:val="0"/>
              <w:pageBreakBefore w:val="0"/>
              <w:kinsoku/>
              <w:wordWrap/>
              <w:overflowPunct/>
              <w:topLinePunct w:val="0"/>
              <w:autoSpaceDE/>
              <w:autoSpaceDN/>
              <w:bidi w:val="0"/>
              <w:adjustRightInd/>
              <w:snapToGrid/>
              <w:spacing w:after="160"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支持呼气末二氧化碳，</w:t>
            </w:r>
            <w:r>
              <w:rPr>
                <w:rFonts w:hint="eastAsia" w:asciiTheme="minorEastAsia" w:hAnsiTheme="minorEastAsia" w:cstheme="minorEastAsia"/>
                <w:sz w:val="21"/>
                <w:szCs w:val="21"/>
              </w:rPr>
              <w:t>同一模块可支持主路法和旁路法监测潮气末二氧化碳</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2.5</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参数5</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心电监测可用≤6个电极获得实时的同屏12导联心电。</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2.6</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▲参数6</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氧饱和度同时能做到智能延迟报警和灌注指数显示</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2.7</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▲参数7</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EastAsia"/>
                <w:sz w:val="21"/>
                <w:szCs w:val="21"/>
              </w:rPr>
              <w:t>带触摸屏的转运模块，插入主机后可实现双屏双控、双向可视化操作，主机屏幕与模块屏幕独立显示，可同时观察。取下模块后可由️充电电池供电作为独立监护仪单独使用，并保证数据的无缝转运。</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8</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 xml:space="preserve"> </w:t>
            </w:r>
            <w:r>
              <w:rPr>
                <w:rFonts w:asciiTheme="minorEastAsia" w:hAnsiTheme="minorEastAsia" w:cstheme="minorHAnsi"/>
                <w:sz w:val="21"/>
                <w:szCs w:val="21"/>
              </w:rPr>
              <w:t>参数</w:t>
            </w:r>
            <w:r>
              <w:rPr>
                <w:rFonts w:hint="eastAsia" w:asciiTheme="minorEastAsia" w:hAnsiTheme="minorEastAsia" w:cstheme="minorHAnsi"/>
                <w:sz w:val="21"/>
                <w:szCs w:val="21"/>
              </w:rPr>
              <w:t>8</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可升级</w:t>
            </w:r>
            <w:r>
              <w:rPr>
                <w:rFonts w:asciiTheme="minorEastAsia" w:hAnsiTheme="minorEastAsia" w:cstheme="minorHAnsi"/>
                <w:sz w:val="21"/>
                <w:szCs w:val="21"/>
              </w:rPr>
              <w:t>连续心输出量监测和右心热稀释法心输出量监测，以上两种测量方法使用同一个模块，方便临床使用</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9</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w:t>
            </w:r>
            <w:r>
              <w:rPr>
                <w:rFonts w:hint="eastAsia" w:asciiTheme="minorEastAsia" w:hAnsiTheme="minorEastAsia" w:cstheme="minorHAnsi"/>
                <w:sz w:val="21"/>
                <w:szCs w:val="21"/>
              </w:rPr>
              <w:t>9</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EastAsia"/>
                <w:sz w:val="21"/>
                <w:szCs w:val="21"/>
              </w:rPr>
              <w:t>内置ICU、新生儿、麻醉、心脏专科显示界面≥ 8种</w:t>
            </w:r>
            <w:r>
              <w:rPr>
                <w:rFonts w:hint="eastAsia" w:ascii="仿宋" w:hAnsi="仿宋" w:eastAsia="仿宋" w:cs="仿宋"/>
                <w:sz w:val="21"/>
                <w:szCs w:val="21"/>
              </w:rPr>
              <w:t>。</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HAnsi"/>
                <w:sz w:val="21"/>
                <w:szCs w:val="21"/>
                <w:lang w:eastAsia="zh-CN"/>
              </w:rPr>
            </w:pPr>
            <w:r>
              <w:rPr>
                <w:rFonts w:asciiTheme="minorEastAsia" w:hAnsiTheme="minorEastAsia" w:cstheme="minorHAnsi"/>
                <w:sz w:val="21"/>
                <w:szCs w:val="21"/>
              </w:rPr>
              <w:t>2.</w:t>
            </w:r>
            <w:r>
              <w:rPr>
                <w:rFonts w:hint="eastAsia" w:asciiTheme="minorEastAsia" w:hAnsiTheme="minorEastAsia" w:cstheme="minorHAnsi"/>
                <w:sz w:val="21"/>
                <w:szCs w:val="21"/>
              </w:rPr>
              <w:t>1</w:t>
            </w:r>
            <w:r>
              <w:rPr>
                <w:rFonts w:hint="eastAsia" w:asciiTheme="minorEastAsia" w:hAnsiTheme="minorEastAsia" w:cstheme="minorHAnsi"/>
                <w:sz w:val="21"/>
                <w:szCs w:val="21"/>
                <w:lang w:val="en-US" w:eastAsia="zh-CN"/>
              </w:rPr>
              <w:t>0</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HAnsi"/>
                <w:sz w:val="21"/>
                <w:szCs w:val="21"/>
                <w:lang w:eastAsia="zh-CN"/>
              </w:rPr>
            </w:pPr>
            <w:r>
              <w:rPr>
                <w:rFonts w:asciiTheme="minorEastAsia" w:hAnsiTheme="minorEastAsia" w:cstheme="minorHAnsi"/>
                <w:sz w:val="21"/>
                <w:szCs w:val="21"/>
              </w:rPr>
              <w:t>参数</w:t>
            </w:r>
            <w:r>
              <w:rPr>
                <w:rFonts w:hint="eastAsia" w:asciiTheme="minorEastAsia" w:hAnsiTheme="minorEastAsia" w:cstheme="minorHAnsi"/>
                <w:sz w:val="21"/>
                <w:szCs w:val="21"/>
              </w:rPr>
              <w:t>1</w:t>
            </w:r>
            <w:r>
              <w:rPr>
                <w:rFonts w:hint="eastAsia" w:asciiTheme="minorEastAsia" w:hAnsiTheme="minorEastAsia" w:cstheme="minorHAnsi"/>
                <w:sz w:val="21"/>
                <w:szCs w:val="21"/>
                <w:lang w:val="en-US" w:eastAsia="zh-CN"/>
              </w:rPr>
              <w:t>0</w:t>
            </w:r>
          </w:p>
        </w:tc>
        <w:tc>
          <w:tcPr>
            <w:tcW w:w="3852"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微软雅黑"/>
                <w:b/>
                <w:color w:val="FF0000"/>
                <w:sz w:val="21"/>
                <w:szCs w:val="21"/>
              </w:rPr>
            </w:pPr>
            <w:r>
              <w:rPr>
                <w:rFonts w:hint="eastAsia" w:asciiTheme="minorEastAsia" w:hAnsiTheme="minorEastAsia" w:cstheme="minorEastAsia"/>
                <w:sz w:val="21"/>
                <w:szCs w:val="21"/>
              </w:rPr>
              <w:t>波形冻结功能，可分别冻结单个波形，不影响其它实时波形的显示和全部参数的报警</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HAnsi"/>
                <w:sz w:val="21"/>
                <w:szCs w:val="21"/>
                <w:lang w:eastAsia="zh-CN"/>
              </w:rPr>
            </w:pPr>
            <w:r>
              <w:rPr>
                <w:rFonts w:asciiTheme="minorEastAsia" w:hAnsiTheme="minorEastAsia" w:cstheme="minorHAnsi"/>
                <w:sz w:val="21"/>
                <w:szCs w:val="21"/>
              </w:rPr>
              <w:t>2.1</w:t>
            </w:r>
            <w:r>
              <w:rPr>
                <w:rFonts w:hint="eastAsia" w:asciiTheme="minorEastAsia" w:hAnsiTheme="minorEastAsia" w:cstheme="minorHAnsi"/>
                <w:sz w:val="21"/>
                <w:szCs w:val="21"/>
                <w:lang w:val="en-US" w:eastAsia="zh-CN"/>
              </w:rPr>
              <w:t>1</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HAnsi"/>
                <w:sz w:val="21"/>
                <w:szCs w:val="21"/>
                <w:lang w:eastAsia="zh-CN"/>
              </w:rPr>
            </w:pPr>
            <w:r>
              <w:rPr>
                <w:rFonts w:asciiTheme="minorEastAsia" w:hAnsiTheme="minorEastAsia" w:cstheme="minorHAnsi"/>
                <w:sz w:val="21"/>
                <w:szCs w:val="21"/>
              </w:rPr>
              <w:t>参数1</w:t>
            </w:r>
            <w:r>
              <w:rPr>
                <w:rFonts w:hint="eastAsia" w:asciiTheme="minorEastAsia" w:hAnsiTheme="minorEastAsia" w:cstheme="minorHAnsi"/>
                <w:sz w:val="21"/>
                <w:szCs w:val="21"/>
                <w:lang w:val="en-US" w:eastAsia="zh-CN"/>
              </w:rPr>
              <w:t>1</w:t>
            </w:r>
          </w:p>
        </w:tc>
        <w:tc>
          <w:tcPr>
            <w:tcW w:w="3852" w:type="dxa"/>
            <w:vAlign w:val="center"/>
          </w:tcPr>
          <w:p>
            <w:pPr>
              <w:keepNext w:val="0"/>
              <w:keepLines w:val="0"/>
              <w:pageBreakBefore w:val="0"/>
              <w:tabs>
                <w:tab w:val="left" w:pos="426"/>
                <w:tab w:val="left" w:pos="454"/>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EastAsia"/>
                <w:sz w:val="21"/>
                <w:szCs w:val="21"/>
              </w:rPr>
              <w:t>有创压力测压范围： -40至360mmHg。</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HAnsi"/>
                <w:b/>
                <w:sz w:val="21"/>
                <w:szCs w:val="21"/>
                <w:lang w:eastAsia="zh-CN"/>
              </w:rPr>
            </w:pPr>
            <w:r>
              <w:rPr>
                <w:rFonts w:asciiTheme="minorEastAsia" w:hAnsiTheme="minorEastAsia" w:cstheme="minorHAnsi"/>
                <w:sz w:val="21"/>
                <w:szCs w:val="21"/>
              </w:rPr>
              <w:t>2.1</w:t>
            </w:r>
            <w:r>
              <w:rPr>
                <w:rFonts w:hint="eastAsia" w:asciiTheme="minorEastAsia" w:hAnsiTheme="minorEastAsia" w:cstheme="minorHAnsi"/>
                <w:sz w:val="21"/>
                <w:szCs w:val="21"/>
                <w:lang w:val="en-US" w:eastAsia="zh-CN"/>
              </w:rPr>
              <w:t>2</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HAnsi"/>
                <w:b/>
                <w:sz w:val="21"/>
                <w:szCs w:val="21"/>
                <w:lang w:eastAsia="zh-CN"/>
              </w:rPr>
            </w:pPr>
            <w:r>
              <w:rPr>
                <w:rFonts w:asciiTheme="minorEastAsia" w:hAnsiTheme="minorEastAsia" w:cstheme="minorHAnsi"/>
                <w:sz w:val="21"/>
                <w:szCs w:val="21"/>
              </w:rPr>
              <w:t>参数1</w:t>
            </w:r>
            <w:r>
              <w:rPr>
                <w:rFonts w:hint="eastAsia" w:asciiTheme="minorEastAsia" w:hAnsiTheme="minorEastAsia" w:cstheme="minorHAnsi"/>
                <w:sz w:val="21"/>
                <w:szCs w:val="21"/>
                <w:lang w:val="en-US" w:eastAsia="zh-CN"/>
              </w:rPr>
              <w:t>2</w:t>
            </w:r>
          </w:p>
        </w:tc>
        <w:tc>
          <w:tcPr>
            <w:tcW w:w="3852" w:type="dxa"/>
            <w:vAlign w:val="center"/>
          </w:tcPr>
          <w:p>
            <w:pPr>
              <w:keepNext w:val="0"/>
              <w:keepLines w:val="0"/>
              <w:pageBreakBefore w:val="0"/>
              <w:kinsoku/>
              <w:wordWrap/>
              <w:overflowPunct/>
              <w:topLinePunct w:val="0"/>
              <w:autoSpaceDE/>
              <w:autoSpaceDN/>
              <w:bidi w:val="0"/>
              <w:adjustRightInd/>
              <w:snapToGrid/>
              <w:spacing w:after="160"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屏幕上可设置“重叠波形显示区域”，在此区域内，可选择不同波形进行重叠显示。便于临床工作人将各种参数波形进行比较，并可更好地发现并定位各类临床事件发生的先后顺序</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3</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配置需求</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3.1</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配置1</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监护仪主机</w:t>
            </w:r>
            <w:r>
              <w:rPr>
                <w:rFonts w:hint="eastAsia" w:asciiTheme="minorEastAsia" w:hAnsiTheme="minorEastAsia" w:cstheme="minorHAnsi"/>
                <w:sz w:val="21"/>
                <w:szCs w:val="21"/>
              </w:rPr>
              <w:t xml:space="preserve">                  </w:t>
            </w:r>
            <w:r>
              <w:rPr>
                <w:rFonts w:asciiTheme="minorEastAsia" w:hAnsiTheme="minorEastAsia" w:cstheme="minorHAnsi"/>
                <w:sz w:val="21"/>
                <w:szCs w:val="21"/>
              </w:rPr>
              <w:t>1台</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3.2</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配置2</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ind w:left="3360" w:hanging="2814" w:hangingChars="1400"/>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触屏转运模块带心电、血压、血氧、</w:t>
            </w:r>
          </w:p>
          <w:p>
            <w:pPr>
              <w:keepNext w:val="0"/>
              <w:keepLines w:val="0"/>
              <w:pageBreakBefore w:val="0"/>
              <w:kinsoku/>
              <w:wordWrap/>
              <w:overflowPunct/>
              <w:topLinePunct w:val="0"/>
              <w:autoSpaceDE/>
              <w:autoSpaceDN/>
              <w:bidi w:val="0"/>
              <w:adjustRightInd/>
              <w:snapToGrid/>
              <w:spacing w:line="440" w:lineRule="exact"/>
              <w:ind w:left="3360" w:hanging="2814" w:hangingChars="1400"/>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 xml:space="preserve">有创、温度                  1块   </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3.3</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3</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ind w:left="3360" w:hanging="2814" w:hangingChars="1400"/>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呼气末二氧化碳和双有创模块  1块</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3.4</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4</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打印机                      1台</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3.5</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5</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3导/5导导联线              1套</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3.6</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6</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袖带                        3个</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3.7</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配置7</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 xml:space="preserve">分屏显示器                  1台 </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3.8</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8</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电极片                      1包</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4</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售后服务</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保修年限</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≥3年</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4.2</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出现故障回应时间</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维修到达现场时间≤6小时（本地），维修到达现场时间≤24小时（外地）</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4.3</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维修支持</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配件供应时间≥10年</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4.4</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耗材及零配件</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提供耗材及主要零配件目录（含报价）</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4.5</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维修资料</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提供详细操作手册、维修保养手册、安装手册等</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4.6</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维修工具</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提供维修专用工具清单</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4.7</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预防性维修/定期维护保养</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保修期内提供定期维护保养服务</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4.8</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维修密码支持</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开放</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4.9</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升级</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终身免费软件升级</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4.10</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使用培训</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4.11</w:t>
            </w:r>
          </w:p>
        </w:tc>
        <w:tc>
          <w:tcPr>
            <w:tcW w:w="233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工程师培训</w:t>
            </w:r>
          </w:p>
        </w:tc>
        <w:tc>
          <w:tcPr>
            <w:tcW w:w="3852"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p>
        </w:tc>
        <w:tc>
          <w:tcPr>
            <w:tcW w:w="152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390713968"/>
      <w:bookmarkStart w:id="11" w:name="_Toc435540980"/>
      <w:bookmarkStart w:id="12" w:name="_Toc285612601"/>
      <w:bookmarkStart w:id="13" w:name="_Toc24043223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★参数1</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屏幕尺寸≥19英寸，触摸屏</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★参数2</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可同时监测心电、呼吸、血氧饱和度、脉搏、无创血压、三有创、双温度、呼气末二氧化碳、转运模块、分屏显示、打印机</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★参数3</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12导联实时ECG和12导联ST值同屏显示，并且实时更新</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▲参数4</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支持呼气末二氧化碳，同一模块可支持主路法和旁路法监测潮气末二氧化碳</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▲参数5</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心电监测可用≤6个电极获得实时的同屏12导联心电</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▲参数6</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氧饱和度同时能做到智能延迟报警和灌注指数显示</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▲参数7</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带触摸屏的转运模块，插入主机后可实现双屏双控、双向可视化操作，主机屏幕与模块屏幕独立显示，可同时观察。取下模块后可由️充电电池供电作为独立监护仪单独使用，并保证数据的无缝转运</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参数8</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可升级连续心输出量监测和右心热稀释法心输出量监测，以上两种测量方法使用同一个模块，方便临床使用</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参数9</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内置ICU、新生儿、麻醉、心脏专科显示界面≥ 8种</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参数10</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波形冻结功能，可分别冻结单个波形，不影响其它实时波形的显示和全部参数的报警</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参数11</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有创压力测压范围： -40至360mmHg</w:t>
            </w:r>
          </w:p>
        </w:tc>
        <w:tc>
          <w:tcPr>
            <w:tcW w:w="708" w:type="dxa"/>
            <w:vAlign w:val="center"/>
          </w:tcPr>
          <w:p>
            <w:pPr>
              <w:spacing w:line="440" w:lineRule="exact"/>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参数1</w:t>
            </w:r>
            <w:r>
              <w:rPr>
                <w:rFonts w:hint="eastAsia" w:cs="Times New Roman" w:asciiTheme="minorEastAsia" w:hAnsiTheme="minorEastAsia" w:eastAsiaTheme="minorEastAsia"/>
                <w:kern w:val="0"/>
                <w:sz w:val="21"/>
                <w:szCs w:val="21"/>
                <w:lang w:val="en-US" w:eastAsia="zh-CN"/>
              </w:rPr>
              <w:t xml:space="preserve">2  </w:t>
            </w:r>
            <w:r>
              <w:rPr>
                <w:rFonts w:hint="eastAsia" w:cs="Times New Roman" w:asciiTheme="minorEastAsia" w:hAnsiTheme="minorEastAsia" w:eastAsiaTheme="minorEastAsia"/>
                <w:kern w:val="0"/>
                <w:sz w:val="21"/>
                <w:szCs w:val="21"/>
              </w:rPr>
              <w:t>屏幕上可设置“重叠波形显示区域”，在此区域内，可选择不同波形进行重叠显示。便于临床工作人将各种参数波形进行比较，并可更好地发现并定位各类临床事件发生的先后顺序</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37172690"/>
      <w:bookmarkStart w:id="16" w:name="_Toc435540981"/>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85612604"/>
      <w:bookmarkStart w:id="19" w:name="_Toc390713970"/>
      <w:bookmarkStart w:id="20" w:name="_Toc37172691"/>
      <w:bookmarkStart w:id="21" w:name="_Toc240432233"/>
      <w:bookmarkStart w:id="22" w:name="_Toc435540982"/>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EB14457"/>
    <w:rsid w:val="1D1D420F"/>
    <w:rsid w:val="265E7F9C"/>
    <w:rsid w:val="27112A95"/>
    <w:rsid w:val="3A8F5BC3"/>
    <w:rsid w:val="64854FC6"/>
    <w:rsid w:val="64975810"/>
    <w:rsid w:val="64A750F8"/>
    <w:rsid w:val="65BD4F9F"/>
    <w:rsid w:val="744931F9"/>
    <w:rsid w:val="761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2</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2020-12-17T00:56:04Z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