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lang w:eastAsia="zh-CN"/>
        </w:rPr>
        <w:t>竞争性</w:t>
      </w:r>
      <w:r>
        <w:rPr>
          <w:rFonts w:hint="eastAsia" w:ascii="Times New Roman" w:hAnsi="Times New Roman" w:eastAsia="方正小标宋简体" w:cs="Times New Roman"/>
          <w:kern w:val="0"/>
          <w:sz w:val="84"/>
          <w:szCs w:val="84"/>
        </w:rPr>
        <w:t>谈判</w:t>
      </w:r>
      <w:r>
        <w:rPr>
          <w:rFonts w:ascii="Times New Roman" w:hAnsi="Times New Roman" w:eastAsia="方正小标宋简体" w:cs="Times New Roman"/>
          <w:kern w:val="0"/>
          <w:sz w:val="84"/>
          <w:szCs w:val="84"/>
        </w:rPr>
        <w:t>文件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1053" w:firstLineChars="300"/>
        <w:rPr>
          <w:rFonts w:hint="eastAsia" w:ascii="宋体" w:hAnsi="宋体" w:eastAsia="宋体" w:cs="Times New Roman"/>
          <w:kern w:val="0"/>
          <w:sz w:val="36"/>
          <w:szCs w:val="36"/>
          <w:lang w:eastAsia="zh-CN"/>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rPr>
        <w:t>生物安全建设设备（</w:t>
      </w:r>
      <w:r>
        <w:rPr>
          <w:rFonts w:hint="eastAsia" w:ascii="宋体" w:hAnsi="宋体" w:eastAsia="宋体" w:cs="Times New Roman"/>
          <w:kern w:val="0"/>
          <w:sz w:val="36"/>
          <w:szCs w:val="36"/>
          <w:u w:val="single"/>
          <w:lang w:val="en-US" w:eastAsia="zh-CN"/>
        </w:rPr>
        <w:t>6</w:t>
      </w:r>
      <w:r>
        <w:rPr>
          <w:rFonts w:hint="eastAsia" w:ascii="宋体" w:hAnsi="宋体" w:eastAsia="宋体" w:cs="Times New Roman"/>
          <w:kern w:val="0"/>
          <w:sz w:val="36"/>
          <w:szCs w:val="36"/>
          <w:u w:val="single"/>
        </w:rPr>
        <w:t>）</w:t>
      </w:r>
      <w:r>
        <w:rPr>
          <w:rFonts w:hint="eastAsia" w:ascii="宋体" w:hAnsi="宋体" w:eastAsia="宋体" w:cs="Times New Roman"/>
          <w:kern w:val="0"/>
          <w:sz w:val="36"/>
          <w:szCs w:val="36"/>
          <w:u w:val="single"/>
          <w:lang w:eastAsia="zh-CN"/>
        </w:rPr>
        <w:t>（第二次）</w:t>
      </w:r>
    </w:p>
    <w:p>
      <w:pPr>
        <w:ind w:firstLine="2106" w:firstLineChars="600"/>
        <w:rPr>
          <w:rFonts w:ascii="宋体" w:hAnsi="宋体" w:eastAsia="宋体" w:cs="Times New Roman"/>
          <w:kern w:val="0"/>
          <w:sz w:val="36"/>
          <w:szCs w:val="36"/>
        </w:rPr>
      </w:pPr>
    </w:p>
    <w:p>
      <w:pPr>
        <w:ind w:firstLine="1053" w:firstLineChars="300"/>
        <w:rPr>
          <w:rFonts w:ascii="宋体" w:hAnsi="宋体" w:eastAsia="宋体" w:cs="Times New Roman"/>
          <w:kern w:val="0"/>
          <w:sz w:val="36"/>
          <w:szCs w:val="36"/>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val="en-US" w:eastAsia="zh-CN"/>
        </w:rPr>
        <w:t xml:space="preserve">   </w:t>
      </w:r>
      <w:r>
        <w:rPr>
          <w:rFonts w:hint="eastAsia" w:ascii="宋体" w:hAnsi="宋体" w:eastAsia="宋体" w:cs="Times New Roman"/>
          <w:kern w:val="0"/>
          <w:sz w:val="36"/>
          <w:szCs w:val="36"/>
          <w:u w:val="single"/>
        </w:rPr>
        <w:t>2020-XNYY-YQ-1</w:t>
      </w:r>
      <w:r>
        <w:rPr>
          <w:rFonts w:hint="eastAsia" w:ascii="宋体" w:hAnsi="宋体" w:eastAsia="宋体" w:cs="Times New Roman"/>
          <w:kern w:val="0"/>
          <w:sz w:val="36"/>
          <w:szCs w:val="36"/>
          <w:u w:val="single"/>
          <w:lang w:val="en-US" w:eastAsia="zh-CN"/>
        </w:rPr>
        <w:t>81</w:t>
      </w:r>
      <w:r>
        <w:rPr>
          <w:rFonts w:hint="eastAsia" w:ascii="宋体" w:hAnsi="宋体" w:eastAsia="宋体" w:cs="Times New Roman"/>
          <w:kern w:val="0"/>
          <w:sz w:val="36"/>
          <w:szCs w:val="36"/>
          <w:u w:val="single"/>
        </w:rPr>
        <w:t xml:space="preserve">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w:t>
      </w:r>
      <w:r>
        <w:rPr>
          <w:rFonts w:hint="eastAsia" w:ascii="宋体" w:hAnsi="宋体" w:eastAsia="宋体" w:cs="Times New Roman"/>
          <w:kern w:val="0"/>
          <w:sz w:val="36"/>
          <w:szCs w:val="36"/>
        </w:rPr>
        <w:t>一</w:t>
      </w:r>
      <w:r>
        <w:rPr>
          <w:rFonts w:ascii="宋体" w:hAnsi="宋体" w:eastAsia="宋体" w:cs="Times New Roman"/>
          <w:kern w:val="0"/>
          <w:sz w:val="36"/>
          <w:szCs w:val="36"/>
        </w:rPr>
        <w:t>年</w:t>
      </w:r>
      <w:r>
        <w:rPr>
          <w:rFonts w:hint="eastAsia" w:ascii="宋体" w:hAnsi="宋体" w:eastAsia="宋体" w:cs="Times New Roman"/>
          <w:kern w:val="0"/>
          <w:sz w:val="36"/>
          <w:szCs w:val="36"/>
          <w:lang w:eastAsia="zh-CN"/>
        </w:rPr>
        <w:t>四</w:t>
      </w:r>
      <w:r>
        <w:rPr>
          <w:rFonts w:ascii="宋体" w:hAnsi="宋体" w:eastAsia="宋体" w:cs="Times New Roman"/>
          <w:kern w:val="0"/>
          <w:sz w:val="36"/>
          <w:szCs w:val="36"/>
        </w:rPr>
        <w:t>月</w:t>
      </w:r>
    </w:p>
    <w:p>
      <w:pPr>
        <w:adjustRightInd w:val="0"/>
        <w:snapToGrid w:val="0"/>
        <w:spacing w:line="440" w:lineRule="exact"/>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谈判报价</w:t>
      </w:r>
      <w:r>
        <w:rPr>
          <w:rFonts w:ascii="黑体" w:hAnsi="黑体" w:eastAsia="黑体" w:cs="Times New Roman"/>
          <w:bCs/>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kern w:val="0"/>
          <w:sz w:val="24"/>
          <w:szCs w:val="24"/>
          <w:u w:color="000000"/>
        </w:rPr>
      </w:pP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一、报价方应特别留意谈判文件上载明的报价文件递交开始截止时间，提前或逾期送达（含邮寄送达）的报价文件概不接受。</w:t>
      </w:r>
    </w:p>
    <w:p>
      <w:pPr>
        <w:widowControl/>
        <w:adjustRightInd w:val="0"/>
        <w:snapToGrid w:val="0"/>
        <w:spacing w:line="520" w:lineRule="exact"/>
        <w:ind w:firstLine="582" w:firstLineChars="200"/>
        <w:rPr>
          <w:rFonts w:ascii="宋体" w:hAnsi="宋体" w:eastAsia="宋体" w:cs="Times New Roman"/>
          <w:snapToGrid w:val="0"/>
          <w:kern w:val="0"/>
          <w:sz w:val="30"/>
          <w:szCs w:val="30"/>
          <w:u w:color="000000"/>
        </w:rPr>
      </w:pPr>
      <w:r>
        <w:rPr>
          <w:rFonts w:hint="eastAsia" w:ascii="宋体" w:hAnsi="宋体" w:eastAsia="宋体" w:cs="Times New Roman"/>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snapToGrid w:val="0"/>
          <w:kern w:val="0"/>
          <w:sz w:val="30"/>
          <w:szCs w:val="30"/>
          <w:u w:color="000000"/>
        </w:rPr>
        <w:t>三、</w:t>
      </w:r>
      <w:r>
        <w:rPr>
          <w:rFonts w:hint="eastAsia" w:ascii="宋体" w:hAnsi="宋体" w:eastAsia="宋体" w:cs="Times New Roman"/>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五、带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号条款均为实质性响应指标要求，必须全部响应。若有一项带“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widowControl/>
        <w:spacing w:line="44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目    录</w:t>
      </w:r>
    </w:p>
    <w:p>
      <w:pPr>
        <w:spacing w:line="440" w:lineRule="exact"/>
        <w:rPr>
          <w:rFonts w:ascii="黑体" w:hAnsi="黑体" w:eastAsia="黑体" w:cs="Times New Roman"/>
          <w:kern w:val="0"/>
          <w:sz w:val="32"/>
          <w:szCs w:val="32"/>
        </w:rPr>
      </w:pPr>
    </w:p>
    <w:p>
      <w:pPr>
        <w:spacing w:line="440" w:lineRule="exact"/>
        <w:ind w:firstLine="462" w:firstLineChars="200"/>
        <w:rPr>
          <w:rFonts w:ascii="宋体" w:hAnsi="宋体" w:eastAsia="宋体" w:cs="Times New Roman"/>
          <w:kern w:val="0"/>
          <w:sz w:val="24"/>
          <w:szCs w:val="24"/>
        </w:rPr>
      </w:pPr>
    </w:p>
    <w:p>
      <w:pPr>
        <w:pStyle w:val="13"/>
        <w:ind w:left="804"/>
        <w:rPr>
          <w:rFonts w:asciiTheme="minorHAnsi" w:hAnsiTheme="minorHAnsi" w:eastAsiaTheme="minorEastAsia" w:cstheme="minorBidi"/>
          <w:kern w:val="2"/>
          <w:szCs w:val="22"/>
        </w:rPr>
      </w:pPr>
      <w:r>
        <w:rPr>
          <w:rFonts w:ascii="宋体" w:hAnsi="宋体"/>
          <w:sz w:val="32"/>
        </w:rPr>
        <w:fldChar w:fldCharType="begin"/>
      </w:r>
      <w:r>
        <w:rPr>
          <w:rFonts w:ascii="宋体" w:hAnsi="宋体"/>
          <w:sz w:val="32"/>
        </w:rPr>
        <w:instrText xml:space="preserve"> TOC \o "1-3" \h \z \u </w:instrText>
      </w:r>
      <w:r>
        <w:rPr>
          <w:rFonts w:ascii="宋体" w:hAnsi="宋体"/>
          <w:sz w:val="32"/>
        </w:rPr>
        <w:fldChar w:fldCharType="separate"/>
      </w:r>
      <w:r>
        <w:fldChar w:fldCharType="begin"/>
      </w:r>
      <w:r>
        <w:instrText xml:space="preserve"> HYPERLINK \l "_Toc37780283"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采购公告</w:t>
      </w:r>
      <w:r>
        <w:rPr>
          <w:sz w:val="32"/>
        </w:rPr>
        <w:tab/>
      </w:r>
      <w:r>
        <w:rPr>
          <w:sz w:val="32"/>
        </w:rPr>
        <w:fldChar w:fldCharType="begin"/>
      </w:r>
      <w:r>
        <w:rPr>
          <w:sz w:val="32"/>
        </w:rPr>
        <w:instrText xml:space="preserve"> PAGEREF _Toc37780283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"_Toc37780284"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_Toc37780284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"_Toc37780285"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报价方</w:t>
      </w:r>
      <w:r>
        <w:rPr>
          <w:rStyle w:val="21"/>
          <w:rFonts w:hint="eastAsia" w:ascii="黑体" w:hAnsi="黑体" w:eastAsia="黑体"/>
          <w:sz w:val="32"/>
        </w:rPr>
        <w:t>须知</w:t>
      </w:r>
      <w:r>
        <w:rPr>
          <w:sz w:val="32"/>
        </w:rPr>
        <w:tab/>
      </w:r>
      <w:r>
        <w:rPr>
          <w:sz w:val="32"/>
        </w:rPr>
        <w:fldChar w:fldCharType="begin"/>
      </w:r>
      <w:r>
        <w:rPr>
          <w:sz w:val="32"/>
        </w:rPr>
        <w:instrText xml:space="preserve"> PAGEREF _Toc37780285 \h </w:instrText>
      </w:r>
      <w:r>
        <w:rPr>
          <w:sz w:val="32"/>
        </w:rPr>
        <w:fldChar w:fldCharType="separate"/>
      </w:r>
      <w:r>
        <w:rPr>
          <w:sz w:val="32"/>
        </w:rPr>
        <w:t>6</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"_Toc37780286"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sz w:val="32"/>
        </w:rPr>
        <w:fldChar w:fldCharType="begin"/>
      </w:r>
      <w:r>
        <w:rPr>
          <w:sz w:val="32"/>
        </w:rPr>
        <w:instrText xml:space="preserve"> PAGEREF _Toc37780286 \h </w:instrText>
      </w:r>
      <w:r>
        <w:rPr>
          <w:sz w:val="32"/>
        </w:rPr>
        <w:fldChar w:fldCharType="separate"/>
      </w:r>
      <w:r>
        <w:rPr>
          <w:sz w:val="32"/>
        </w:rPr>
        <w:t>30</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"_Toc37780287"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报价文件格式</w:t>
      </w:r>
      <w:r>
        <w:rPr>
          <w:sz w:val="32"/>
        </w:rPr>
        <w:tab/>
      </w:r>
      <w:r>
        <w:rPr>
          <w:sz w:val="32"/>
        </w:rPr>
        <w:fldChar w:fldCharType="begin"/>
      </w:r>
      <w:r>
        <w:rPr>
          <w:sz w:val="32"/>
        </w:rPr>
        <w:instrText xml:space="preserve"> PAGEREF _Toc37780287 \h </w:instrText>
      </w:r>
      <w:r>
        <w:rPr>
          <w:sz w:val="32"/>
        </w:rPr>
        <w:fldChar w:fldCharType="separate"/>
      </w:r>
      <w:r>
        <w:rPr>
          <w:sz w:val="32"/>
        </w:rPr>
        <w:t>33</w:t>
      </w:r>
      <w:r>
        <w:rPr>
          <w:sz w:val="32"/>
        </w:rPr>
        <w:fldChar w:fldCharType="end"/>
      </w:r>
      <w:r>
        <w:rPr>
          <w:sz w:val="32"/>
        </w:rPr>
        <w:fldChar w:fldCharType="end"/>
      </w:r>
    </w:p>
    <w:p>
      <w:pPr>
        <w:spacing w:line="440" w:lineRule="exact"/>
        <w:rPr>
          <w:rFonts w:ascii="宋体" w:hAnsi="宋体" w:eastAsia="宋体" w:cs="Times New Roman"/>
          <w:kern w:val="0"/>
          <w:sz w:val="32"/>
          <w:szCs w:val="24"/>
        </w:rPr>
      </w:pPr>
      <w:r>
        <w:rPr>
          <w:rFonts w:ascii="宋体" w:hAnsi="宋体" w:eastAsia="宋体" w:cs="Times New Roman"/>
          <w:kern w:val="0"/>
          <w:sz w:val="32"/>
          <w:szCs w:val="24"/>
        </w:rPr>
        <w:fldChar w:fldCharType="end"/>
      </w:r>
    </w:p>
    <w:p>
      <w:pPr>
        <w:spacing w:line="440" w:lineRule="exact"/>
        <w:ind w:firstLine="462" w:firstLineChars="200"/>
        <w:rPr>
          <w:rFonts w:ascii="宋体" w:hAnsi="宋体" w:eastAsia="宋体" w:cs="Times New Roman"/>
          <w:kern w:val="0"/>
          <w:sz w:val="24"/>
          <w:szCs w:val="24"/>
        </w:rPr>
      </w:pPr>
    </w:p>
    <w:p>
      <w:pPr>
        <w:spacing w:beforeLines="100" w:line="440" w:lineRule="exact"/>
        <w:jc w:val="center"/>
        <w:rPr>
          <w:rFonts w:ascii="宋体" w:hAnsi="宋体" w:eastAsia="宋体" w:cs="Times New Roman"/>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spacing w:line="360" w:lineRule="exact"/>
        <w:jc w:val="center"/>
        <w:rPr>
          <w:rFonts w:ascii="黑体" w:hAnsi="黑体" w:eastAsia="黑体"/>
          <w:kern w:val="0"/>
          <w:sz w:val="32"/>
          <w:szCs w:val="32"/>
        </w:rPr>
      </w:pPr>
      <w:bookmarkStart w:id="1" w:name="_Toc285612593"/>
      <w:bookmarkStart w:id="2" w:name="_Toc435540978"/>
      <w:bookmarkStart w:id="3" w:name="_Toc37780283"/>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采购公告</w:t>
      </w:r>
      <w:bookmarkEnd w:id="3"/>
    </w:p>
    <w:bookmarkEnd w:id="0"/>
    <w:p>
      <w:pPr>
        <w:adjustRightInd w:val="0"/>
        <w:snapToGrid w:val="0"/>
        <w:spacing w:line="360" w:lineRule="exact"/>
        <w:jc w:val="center"/>
        <w:rPr>
          <w:rFonts w:hint="default" w:ascii="Tahoma" w:hAnsi="Tahoma" w:cs="Tahoma" w:eastAsiaTheme="minorEastAsia"/>
          <w:b/>
          <w:bCs/>
          <w:kern w:val="0"/>
          <w:sz w:val="28"/>
          <w:szCs w:val="28"/>
          <w:lang w:val="en-US" w:eastAsia="zh-CN"/>
        </w:rPr>
      </w:pPr>
      <w:r>
        <w:rPr>
          <w:rFonts w:hint="eastAsia" w:ascii="Tahoma" w:hAnsi="Tahoma" w:cs="Tahoma"/>
          <w:b/>
          <w:bCs/>
          <w:kern w:val="0"/>
          <w:sz w:val="28"/>
          <w:szCs w:val="28"/>
        </w:rPr>
        <w:t>关于生物安全建设设备（</w:t>
      </w:r>
      <w:r>
        <w:rPr>
          <w:rFonts w:hint="eastAsia" w:ascii="Tahoma" w:hAnsi="Tahoma" w:cs="Tahoma"/>
          <w:b/>
          <w:bCs/>
          <w:kern w:val="0"/>
          <w:sz w:val="28"/>
          <w:szCs w:val="28"/>
          <w:lang w:val="en-US" w:eastAsia="zh-CN"/>
        </w:rPr>
        <w:t>6</w:t>
      </w:r>
      <w:r>
        <w:rPr>
          <w:rFonts w:hint="eastAsia" w:ascii="Tahoma" w:hAnsi="Tahoma" w:cs="Tahoma"/>
          <w:b/>
          <w:bCs/>
          <w:kern w:val="0"/>
          <w:sz w:val="28"/>
          <w:szCs w:val="28"/>
        </w:rPr>
        <w:t>）的采购</w:t>
      </w:r>
      <w:r>
        <w:rPr>
          <w:rFonts w:ascii="Tahoma" w:hAnsi="Tahoma" w:cs="Tahoma"/>
          <w:b/>
          <w:bCs/>
          <w:kern w:val="0"/>
          <w:sz w:val="28"/>
          <w:szCs w:val="28"/>
        </w:rPr>
        <w:t>公告</w:t>
      </w:r>
      <w:r>
        <w:rPr>
          <w:rFonts w:hint="eastAsia" w:ascii="Tahoma" w:hAnsi="Tahoma" w:cs="Tahoma"/>
          <w:kern w:val="0"/>
          <w:sz w:val="28"/>
          <w:szCs w:val="28"/>
        </w:rPr>
        <w:t>2020-XNYY-YQ-1</w:t>
      </w:r>
      <w:r>
        <w:rPr>
          <w:rFonts w:hint="eastAsia" w:ascii="Tahoma" w:hAnsi="Tahoma" w:cs="Tahoma"/>
          <w:kern w:val="0"/>
          <w:sz w:val="28"/>
          <w:szCs w:val="28"/>
          <w:lang w:val="en-US" w:eastAsia="zh-CN"/>
        </w:rPr>
        <w:t>81（第二次）</w:t>
      </w:r>
    </w:p>
    <w:p>
      <w:pPr>
        <w:spacing w:line="360" w:lineRule="exact"/>
        <w:ind w:firstLine="462" w:firstLineChars="200"/>
        <w:rPr>
          <w:rFonts w:ascii="宋体" w:hAnsi="宋体" w:eastAsia="宋体" w:cs="Times New Roman"/>
          <w:kern w:val="0"/>
          <w:sz w:val="24"/>
          <w:szCs w:val="24"/>
        </w:rPr>
      </w:pPr>
    </w:p>
    <w:p>
      <w:pPr>
        <w:spacing w:line="36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我院就以下项目进行竞争性谈判，</w:t>
      </w:r>
      <w:r>
        <w:rPr>
          <w:rFonts w:hint="eastAsia" w:cs="Times New Roman" w:asciiTheme="minorEastAsia" w:hAnsiTheme="minorEastAsia"/>
          <w:kern w:val="0"/>
          <w:sz w:val="24"/>
          <w:szCs w:val="24"/>
        </w:rPr>
        <w:t>欢迎符合条件的供应商</w:t>
      </w:r>
      <w:r>
        <w:rPr>
          <w:rFonts w:hint="eastAsia" w:ascii="宋体" w:hAnsi="宋体" w:eastAsia="宋体" w:cs="Times New Roman"/>
          <w:kern w:val="0"/>
          <w:sz w:val="24"/>
          <w:szCs w:val="24"/>
        </w:rPr>
        <w:t>参加谈判报价。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项目名称：</w:t>
      </w:r>
      <w:r>
        <w:rPr>
          <w:rFonts w:hint="eastAsia" w:ascii="宋体" w:hAnsi="宋体" w:eastAsia="宋体" w:cs="Times New Roman"/>
          <w:kern w:val="0"/>
          <w:sz w:val="24"/>
          <w:szCs w:val="24"/>
        </w:rPr>
        <w:t>生物安全建设设备（</w:t>
      </w:r>
      <w:r>
        <w:rPr>
          <w:rFonts w:hint="eastAsia" w:ascii="宋体" w:hAnsi="宋体" w:eastAsia="宋体" w:cs="Times New Roman"/>
          <w:kern w:val="0"/>
          <w:sz w:val="24"/>
          <w:szCs w:val="24"/>
          <w:lang w:val="en-US" w:eastAsia="zh-CN"/>
        </w:rPr>
        <w:t>6</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hint="default" w:ascii="宋体" w:hAnsi="宋体" w:eastAsia="宋体" w:cs="Times New Roman"/>
          <w:kern w:val="0"/>
          <w:sz w:val="24"/>
          <w:szCs w:val="24"/>
          <w:lang w:val="en-US" w:eastAsia="zh-CN"/>
        </w:rPr>
      </w:pPr>
      <w:r>
        <w:rPr>
          <w:rFonts w:hint="eastAsia" w:ascii="宋体" w:hAnsi="宋体" w:eastAsia="宋体" w:cs="Times New Roman"/>
          <w:kern w:val="0"/>
          <w:sz w:val="24"/>
          <w:szCs w:val="24"/>
        </w:rPr>
        <w:t>二、</w:t>
      </w:r>
      <w:r>
        <w:rPr>
          <w:rFonts w:ascii="宋体" w:hAnsi="宋体" w:eastAsia="宋体" w:cs="Times New Roman"/>
          <w:kern w:val="0"/>
          <w:sz w:val="24"/>
          <w:szCs w:val="24"/>
        </w:rPr>
        <w:t>项目编号：</w:t>
      </w:r>
      <w:r>
        <w:rPr>
          <w:rFonts w:hint="eastAsia" w:ascii="宋体" w:hAnsi="宋体" w:eastAsia="宋体" w:cs="Times New Roman"/>
          <w:kern w:val="0"/>
          <w:sz w:val="24"/>
          <w:szCs w:val="24"/>
        </w:rPr>
        <w:t>2020-XNYY-YQ-1</w:t>
      </w:r>
      <w:r>
        <w:rPr>
          <w:rFonts w:hint="eastAsia" w:ascii="宋体" w:hAnsi="宋体" w:eastAsia="宋体" w:cs="Times New Roman"/>
          <w:kern w:val="0"/>
          <w:sz w:val="24"/>
          <w:szCs w:val="24"/>
          <w:lang w:val="en-US" w:eastAsia="zh-CN"/>
        </w:rPr>
        <w:t>81</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7"/>
        <w:tblW w:w="52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104"/>
        <w:gridCol w:w="696"/>
        <w:gridCol w:w="960"/>
        <w:gridCol w:w="697"/>
        <w:gridCol w:w="626"/>
        <w:gridCol w:w="1058"/>
        <w:gridCol w:w="1058"/>
        <w:gridCol w:w="1058"/>
        <w:gridCol w:w="896"/>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1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货物名称</w:t>
            </w:r>
          </w:p>
        </w:tc>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spacing w:line="240" w:lineRule="auto"/>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9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技术</w:t>
            </w:r>
          </w:p>
          <w:p>
            <w:pPr>
              <w:adjustRightInd w:val="0"/>
              <w:snapToGrid w:val="0"/>
              <w:spacing w:line="240" w:lineRule="auto"/>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要求</w:t>
            </w:r>
          </w:p>
        </w:tc>
        <w:tc>
          <w:tcPr>
            <w:tcW w:w="6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spacing w:line="240" w:lineRule="auto"/>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6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预算</w:t>
            </w:r>
            <w:r>
              <w:rPr>
                <w:rFonts w:hint="eastAsia" w:cs="Times New Roman" w:asciiTheme="minorEastAsia" w:hAnsiTheme="minorEastAsia"/>
                <w:snapToGrid w:val="0"/>
                <w:kern w:val="0"/>
                <w:szCs w:val="21"/>
                <w:lang w:eastAsia="zh-CN"/>
              </w:rPr>
              <w:t>单价</w:t>
            </w:r>
            <w:r>
              <w:rPr>
                <w:rFonts w:hint="eastAsia" w:cs="Times New Roman" w:asciiTheme="minorEastAsia" w:hAnsiTheme="minorEastAsia"/>
                <w:snapToGrid w:val="0"/>
                <w:kern w:val="0"/>
                <w:szCs w:val="21"/>
              </w:rPr>
              <w:t>（万元）</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cs="Times New Roman" w:asciiTheme="minorEastAsia" w:hAnsiTheme="minorEastAsia" w:eastAsiaTheme="minorEastAsia"/>
                <w:snapToGrid w:val="0"/>
                <w:kern w:val="0"/>
                <w:sz w:val="21"/>
                <w:szCs w:val="21"/>
                <w:lang w:val="en-US" w:eastAsia="zh-CN" w:bidi="ar-SA"/>
              </w:rPr>
            </w:pPr>
            <w:r>
              <w:rPr>
                <w:rFonts w:hint="eastAsia" w:cs="Times New Roman" w:asciiTheme="minorEastAsia" w:hAnsiTheme="minorEastAsia"/>
                <w:snapToGrid w:val="0"/>
                <w:kern w:val="0"/>
                <w:szCs w:val="21"/>
                <w:lang w:eastAsia="zh-CN"/>
              </w:rPr>
              <w:t>项目</w:t>
            </w:r>
            <w:r>
              <w:rPr>
                <w:rFonts w:hint="eastAsia" w:cs="Times New Roman" w:asciiTheme="minorEastAsia" w:hAnsiTheme="minorEastAsia"/>
                <w:snapToGrid w:val="0"/>
                <w:kern w:val="0"/>
                <w:szCs w:val="21"/>
              </w:rPr>
              <w:t>预算（万元）</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spacing w:line="240" w:lineRule="auto"/>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8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spacing w:line="240" w:lineRule="auto"/>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7"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lang w:val="en-US" w:eastAsia="zh-CN"/>
              </w:rPr>
              <w:t>1</w:t>
            </w:r>
          </w:p>
        </w:tc>
        <w:tc>
          <w:tcPr>
            <w:tcW w:w="11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lang w:val="en-US" w:eastAsia="zh-CN"/>
              </w:rPr>
              <w:t>荧光定量仪</w:t>
            </w:r>
          </w:p>
        </w:tc>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cs="Times New Roman" w:asciiTheme="minorEastAsia" w:hAnsiTheme="minorEastAsia"/>
                <w:szCs w:val="21"/>
              </w:rPr>
            </w:pPr>
            <w:r>
              <w:rPr>
                <w:rFonts w:hint="eastAsia" w:cs="Times New Roman" w:asciiTheme="minorEastAsia" w:hAnsiTheme="minorEastAsia"/>
                <w:szCs w:val="21"/>
              </w:rPr>
              <w:t>/</w:t>
            </w:r>
          </w:p>
        </w:tc>
        <w:tc>
          <w:tcPr>
            <w:tcW w:w="960" w:type="dxa"/>
            <w:tcBorders>
              <w:top w:val="single" w:color="auto" w:sz="4" w:space="0"/>
              <w:left w:val="single" w:color="auto" w:sz="4" w:space="0"/>
              <w:right w:val="single" w:color="auto" w:sz="4" w:space="0"/>
            </w:tcBorders>
            <w:vAlign w:val="center"/>
          </w:tcPr>
          <w:p>
            <w:pPr>
              <w:adjustRightInd w:val="0"/>
              <w:snapToGrid w:val="0"/>
              <w:spacing w:line="240" w:lineRule="auto"/>
              <w:jc w:val="center"/>
              <w:rPr>
                <w:rFonts w:cs="Times New Roman" w:asciiTheme="minorEastAsia" w:hAnsiTheme="minorEastAsia"/>
                <w:szCs w:val="21"/>
              </w:rPr>
            </w:pPr>
            <w:r>
              <w:rPr>
                <w:rFonts w:hint="eastAsia" w:cs="Times New Roman" w:asciiTheme="minorEastAsia" w:hAnsiTheme="minorEastAsia"/>
                <w:szCs w:val="21"/>
              </w:rPr>
              <w:t>详见谈判文件附件23</w:t>
            </w:r>
          </w:p>
        </w:tc>
        <w:tc>
          <w:tcPr>
            <w:tcW w:w="6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台</w:t>
            </w:r>
          </w:p>
        </w:tc>
        <w:tc>
          <w:tcPr>
            <w:tcW w:w="6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cs="Times New Roman" w:asciiTheme="minorEastAsia" w:hAnsiTheme="minorEastAsia"/>
                <w:szCs w:val="21"/>
                <w:lang w:eastAsia="zh-CN"/>
              </w:rPr>
            </w:pPr>
            <w:r>
              <w:rPr>
                <w:rFonts w:hint="eastAsia" w:cs="Times New Roman" w:asciiTheme="minorEastAsia" w:hAnsiTheme="minorEastAsia"/>
                <w:szCs w:val="21"/>
                <w:lang w:val="en-US" w:eastAsia="zh-CN"/>
              </w:rPr>
              <w:t>1</w:t>
            </w:r>
          </w:p>
        </w:tc>
        <w:tc>
          <w:tcPr>
            <w:tcW w:w="1058" w:type="dxa"/>
            <w:tcBorders>
              <w:top w:val="single" w:color="auto" w:sz="4" w:space="0"/>
              <w:left w:val="single" w:color="auto" w:sz="4" w:space="0"/>
              <w:right w:val="single" w:color="auto" w:sz="4" w:space="0"/>
            </w:tcBorders>
            <w:vAlign w:val="center"/>
          </w:tcPr>
          <w:p>
            <w:pPr>
              <w:adjustRightInd w:val="0"/>
              <w:snapToGrid w:val="0"/>
              <w:spacing w:line="240" w:lineRule="auto"/>
              <w:jc w:val="center"/>
              <w:rPr>
                <w:rFonts w:hint="default" w:cs="Times New Roman" w:asciiTheme="minorEastAsia" w:hAnsiTheme="minorEastAsia"/>
                <w:szCs w:val="21"/>
                <w:lang w:val="en-US" w:eastAsia="zh-CN"/>
              </w:rPr>
            </w:pPr>
            <w:r>
              <w:rPr>
                <w:rFonts w:hint="eastAsia" w:cs="Times New Roman" w:asciiTheme="minorEastAsia" w:hAnsiTheme="minorEastAsia"/>
                <w:szCs w:val="21"/>
                <w:lang w:val="en-US" w:eastAsia="zh-CN"/>
              </w:rPr>
              <w:t>5.446</w:t>
            </w:r>
          </w:p>
        </w:tc>
        <w:tc>
          <w:tcPr>
            <w:tcW w:w="1058" w:type="dxa"/>
            <w:tcBorders>
              <w:top w:val="single" w:color="auto" w:sz="4" w:space="0"/>
              <w:left w:val="single" w:color="auto" w:sz="4" w:space="0"/>
              <w:right w:val="single" w:color="auto" w:sz="4" w:space="0"/>
            </w:tcBorders>
            <w:vAlign w:val="center"/>
          </w:tcPr>
          <w:p>
            <w:pPr>
              <w:adjustRightInd w:val="0"/>
              <w:snapToGrid w:val="0"/>
              <w:spacing w:line="240" w:lineRule="auto"/>
              <w:jc w:val="center"/>
              <w:rPr>
                <w:rFonts w:hint="default" w:cs="Times New Roman" w:asciiTheme="minorEastAsia" w:hAnsiTheme="minorEastAsia"/>
                <w:szCs w:val="21"/>
                <w:lang w:val="en-US" w:eastAsia="zh-CN"/>
              </w:rPr>
            </w:pPr>
            <w:r>
              <w:rPr>
                <w:rFonts w:hint="eastAsia" w:cs="Times New Roman" w:asciiTheme="minorEastAsia" w:hAnsiTheme="minorEastAsia"/>
                <w:szCs w:val="21"/>
                <w:lang w:val="en-US" w:eastAsia="zh-CN"/>
              </w:rPr>
              <w:t>5.446</w:t>
            </w:r>
          </w:p>
        </w:tc>
        <w:tc>
          <w:tcPr>
            <w:tcW w:w="1058" w:type="dxa"/>
            <w:tcBorders>
              <w:top w:val="single" w:color="auto" w:sz="4" w:space="0"/>
              <w:left w:val="single" w:color="auto" w:sz="4" w:space="0"/>
              <w:right w:val="single" w:color="auto" w:sz="4" w:space="0"/>
            </w:tcBorders>
            <w:vAlign w:val="center"/>
          </w:tcPr>
          <w:p>
            <w:pPr>
              <w:adjustRightInd w:val="0"/>
              <w:snapToGrid w:val="0"/>
              <w:spacing w:line="240" w:lineRule="auto"/>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896" w:type="dxa"/>
            <w:tcBorders>
              <w:top w:val="single" w:color="auto" w:sz="4" w:space="0"/>
              <w:left w:val="single" w:color="auto" w:sz="4" w:space="0"/>
              <w:right w:val="single" w:color="auto" w:sz="4" w:space="0"/>
            </w:tcBorders>
            <w:vAlign w:val="center"/>
          </w:tcPr>
          <w:p>
            <w:pPr>
              <w:adjustRightInd w:val="0"/>
              <w:snapToGrid w:val="0"/>
              <w:spacing w:line="240" w:lineRule="auto"/>
              <w:jc w:val="center"/>
              <w:rPr>
                <w:rFonts w:cs="Times New Roman" w:asciiTheme="minorEastAsia" w:hAnsiTheme="minorEastAsia"/>
                <w:szCs w:val="21"/>
              </w:rPr>
            </w:pPr>
            <w:r>
              <w:rPr>
                <w:rFonts w:hint="eastAsia" w:cs="Times New Roman" w:asciiTheme="minorEastAsia" w:hAnsiTheme="minorEastAsia"/>
                <w:szCs w:val="21"/>
              </w:rPr>
              <w:t>重庆市</w:t>
            </w:r>
          </w:p>
        </w:tc>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8849" w:type="dxa"/>
            <w:gridSpan w:val="10"/>
            <w:tcBorders>
              <w:top w:val="single" w:color="auto" w:sz="4" w:space="0"/>
              <w:left w:val="single" w:color="auto" w:sz="4" w:space="0"/>
              <w:bottom w:val="single" w:color="auto" w:sz="4" w:space="0"/>
              <w:right w:val="single" w:color="auto" w:sz="4" w:space="0"/>
            </w:tcBorders>
            <w:vAlign w:val="center"/>
          </w:tcPr>
          <w:p>
            <w:pPr>
              <w:numPr>
                <w:ilvl w:val="0"/>
                <w:numId w:val="1"/>
              </w:numPr>
              <w:adjustRightInd w:val="0"/>
              <w:snapToGrid w:val="0"/>
              <w:spacing w:line="240" w:lineRule="auto"/>
              <w:rPr>
                <w:rFonts w:hint="eastAsia" w:asciiTheme="minorEastAsia" w:hAnsiTheme="minorEastAsia"/>
                <w:szCs w:val="21"/>
              </w:rPr>
            </w:pPr>
            <w:r>
              <w:rPr>
                <w:rFonts w:hint="eastAsia" w:asciiTheme="minorEastAsia" w:hAnsiTheme="minorEastAsia"/>
                <w:szCs w:val="21"/>
              </w:rPr>
              <w:t>报价应包括物资供应、运输、安装、培训、售后服务等价格。</w:t>
            </w:r>
          </w:p>
          <w:p>
            <w:pPr>
              <w:numPr>
                <w:ilvl w:val="0"/>
                <w:numId w:val="1"/>
              </w:numPr>
              <w:adjustRightInd w:val="0"/>
              <w:snapToGrid w:val="0"/>
              <w:spacing w:line="240" w:lineRule="auto"/>
              <w:rPr>
                <w:rFonts w:hint="eastAsia" w:asciiTheme="minorEastAsia" w:hAnsiTheme="minorEastAsia"/>
                <w:szCs w:val="21"/>
              </w:rPr>
            </w:pPr>
            <w:r>
              <w:rPr>
                <w:rFonts w:hint="eastAsia" w:asciiTheme="minorEastAsia" w:hAnsiTheme="minorEastAsia"/>
                <w:color w:val="auto"/>
                <w:szCs w:val="21"/>
              </w:rPr>
              <w:t>以上物资可单独报名。</w:t>
            </w:r>
          </w:p>
        </w:tc>
      </w:tr>
    </w:tbl>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（二）供应商成立时间不少于1年。</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（七）报价方</w:t>
      </w:r>
      <w:r>
        <w:rPr>
          <w:rFonts w:hint="eastAsia" w:cs="Times New Roman" w:asciiTheme="minorEastAsia" w:hAnsiTheme="minorEastAsia"/>
          <w:kern w:val="0"/>
          <w:sz w:val="24"/>
          <w:szCs w:val="24"/>
        </w:rPr>
        <w:t>应具备本项目生产或者销售范围（以报价方提供的营业执照、经营许可证为准）</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五、谈判文件发售时间、地点、方式及售价</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rPr>
        <w:t xml:space="preserve"> 2021 </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4</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16</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4</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23</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日（08:00—11:30，15:00—17:00）（北京时间、节假日除外）。</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w:t>
      </w:r>
      <w:r>
        <w:rPr>
          <w:rFonts w:hint="eastAsia" w:cs="Times New Roman" w:asciiTheme="minorEastAsia" w:hAnsiTheme="minorEastAsia"/>
          <w:kern w:val="0"/>
          <w:sz w:val="24"/>
          <w:szCs w:val="24"/>
        </w:rPr>
        <w:t>时需提供以下材料原件或装订成册加盖单位公章的复印件1份</w:t>
      </w:r>
      <w:r>
        <w:rPr>
          <w:rFonts w:hint="eastAsia" w:ascii="宋体" w:hAnsi="宋体" w:eastAsia="宋体" w:cs="Times New Roman"/>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w:t>
      </w:r>
      <w:r>
        <w:rPr>
          <w:rFonts w:hint="eastAsia"/>
        </w:rPr>
        <w:t xml:space="preserve"> </w:t>
      </w:r>
      <w:r>
        <w:rPr>
          <w:rFonts w:hint="eastAsia" w:cs="Times New Roman" w:asciiTheme="minorEastAsia" w:hAnsiTheme="minorEastAsia"/>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 相关声明书（包含但不限于以下内容）：①非外资企业或外资控股企业的书面声明；②参加本次采购活动前3年内在经营活动中没有重大违法记录的书面声明；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11.医疗器械经营许可证或二类备案凭证（需具备相应产品经营资格)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 生产企业《医疗器械生产许可证》（需具备相应的产品生产资格，进口产品提供国内总代理相关经营许可证）；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w:t>
      </w:r>
      <w:r>
        <w:rPr>
          <w:rFonts w:hint="eastAsia"/>
        </w:rPr>
        <w:t xml:space="preserve"> </w:t>
      </w:r>
      <w:r>
        <w:rPr>
          <w:rFonts w:hint="eastAsia" w:cs="Times New Roman" w:asciiTheme="minorEastAsia" w:hAnsiTheme="minorEastAsia"/>
          <w:kern w:val="0"/>
          <w:sz w:val="24"/>
          <w:szCs w:val="24"/>
        </w:rPr>
        <w:t>生产企业对代理公司参与报价的授权书（进口产品需提供原产厂家对中国总代的中英文授权书复印件或同步翻译件）。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（四）谈判文件售价：200元/份，售后不退。</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lang w:eastAsia="zh-CN"/>
        </w:rPr>
        <w:t>中国政府采购网（www.ccgp.gov.cn）</w:t>
      </w:r>
      <w:r>
        <w:rPr>
          <w:rFonts w:hint="eastAsia" w:cs="Times New Roman" w:asciiTheme="minorEastAsia" w:hAnsiTheme="minorEastAsia"/>
          <w:b/>
          <w:kern w:val="0"/>
          <w:sz w:val="24"/>
          <w:szCs w:val="24"/>
        </w:rPr>
        <w:t>及我院官网（www.xnyy.cn）</w:t>
      </w:r>
      <w:r>
        <w:rPr>
          <w:rFonts w:cs="Times New Roman" w:asciiTheme="minorEastAsia" w:hAnsiTheme="minorEastAsia"/>
          <w:b/>
          <w:kern w:val="0"/>
          <w:sz w:val="24"/>
          <w:szCs w:val="24"/>
        </w:rPr>
        <w:t>上发布</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    </w:t>
      </w:r>
      <w:r>
        <w:rPr>
          <w:rFonts w:hint="eastAsia" w:cs="Times New Roman" w:asciiTheme="minorEastAsia" w:hAnsiTheme="minorEastAsia"/>
          <w:kern w:val="0"/>
          <w:sz w:val="24"/>
          <w:szCs w:val="24"/>
        </w:rPr>
        <w:t>（08:00—12:00，15:00—18:00）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（08:00—12:00，15:00—18:00）</w:t>
      </w:r>
    </w:p>
    <w:p>
      <w:pPr>
        <w:spacing w:afterLines="50" w:line="440" w:lineRule="exact"/>
        <w:ind w:left="4167" w:leftChars="432" w:hanging="3299" w:hangingChars="1428"/>
        <w:jc w:val="left"/>
        <w:rPr>
          <w:rFonts w:ascii="宋体" w:hAnsi="宋体" w:eastAsia="宋体" w:cs="Times New Roman"/>
          <w:kern w:val="0"/>
          <w:sz w:val="24"/>
          <w:szCs w:val="24"/>
        </w:rPr>
      </w:pPr>
    </w:p>
    <w:p>
      <w:pPr>
        <w:spacing w:line="440" w:lineRule="exact"/>
        <w:ind w:left="4652" w:leftChars="2310" w:hanging="9" w:hangingChars="4"/>
        <w:rPr>
          <w:rFonts w:ascii="宋体" w:hAnsi="宋体" w:eastAsia="宋体" w:cs="Times New Roman"/>
          <w:kern w:val="0"/>
          <w:sz w:val="24"/>
          <w:szCs w:val="24"/>
        </w:rPr>
      </w:pPr>
      <w:r>
        <w:rPr>
          <w:rFonts w:hint="eastAsia" w:cs="Times New Roman" w:asciiTheme="minorEastAsia" w:hAnsiTheme="minorEastAsia"/>
          <w:kern w:val="0"/>
          <w:sz w:val="24"/>
          <w:szCs w:val="24"/>
        </w:rPr>
        <w:t>物资采购中心</w:t>
      </w:r>
    </w:p>
    <w:p>
      <w:pPr>
        <w:autoSpaceDE w:val="0"/>
        <w:autoSpaceDN w:val="0"/>
        <w:adjustRightInd w:val="0"/>
        <w:spacing w:line="440" w:lineRule="exact"/>
        <w:rPr>
          <w:rFonts w:ascii="宋体" w:hAnsi="宋体" w:eastAsia="宋体" w:cs="Times New Roman"/>
          <w:kern w:val="0"/>
          <w:sz w:val="24"/>
          <w:szCs w:val="24"/>
        </w:rPr>
      </w:pPr>
      <w:r>
        <w:rPr>
          <w:rFonts w:hint="eastAsia" w:ascii="宋体" w:hAnsi="宋体" w:eastAsia="宋体" w:cs="Times New Roman"/>
          <w:kern w:val="0"/>
          <w:sz w:val="24"/>
          <w:szCs w:val="24"/>
        </w:rPr>
        <w:t xml:space="preserve">                                        2021年</w:t>
      </w:r>
      <w:r>
        <w:rPr>
          <w:rFonts w:hint="eastAsia" w:ascii="宋体" w:hAnsi="宋体" w:eastAsia="宋体" w:cs="Times New Roman"/>
          <w:kern w:val="0"/>
          <w:sz w:val="24"/>
          <w:szCs w:val="24"/>
          <w:lang w:val="en-US" w:eastAsia="zh-CN"/>
        </w:rPr>
        <w:t>4</w:t>
      </w:r>
      <w:r>
        <w:rPr>
          <w:rFonts w:hint="eastAsia" w:ascii="宋体" w:hAnsi="宋体" w:eastAsia="宋体" w:cs="Times New Roman"/>
          <w:kern w:val="0"/>
          <w:sz w:val="24"/>
          <w:szCs w:val="24"/>
        </w:rPr>
        <w:t>月</w:t>
      </w:r>
      <w:r>
        <w:rPr>
          <w:rFonts w:hint="eastAsia" w:ascii="宋体" w:hAnsi="宋体" w:eastAsia="宋体" w:cs="Times New Roman"/>
          <w:kern w:val="0"/>
          <w:sz w:val="24"/>
          <w:szCs w:val="24"/>
          <w:lang w:val="en-US" w:eastAsia="zh-CN"/>
        </w:rPr>
        <w:t>16</w:t>
      </w:r>
      <w:r>
        <w:rPr>
          <w:rFonts w:hint="eastAsia" w:ascii="宋体" w:hAnsi="宋体" w:eastAsia="宋体" w:cs="Times New Roman"/>
          <w:kern w:val="0"/>
          <w:sz w:val="24"/>
          <w:szCs w:val="24"/>
        </w:rPr>
        <w:t>日</w:t>
      </w:r>
    </w:p>
    <w:p>
      <w:pPr>
        <w:autoSpaceDE w:val="0"/>
        <w:autoSpaceDN w:val="0"/>
        <w:adjustRightInd w:val="0"/>
        <w:spacing w:line="440" w:lineRule="exact"/>
        <w:rPr>
          <w:rFonts w:ascii="宋体" w:hAnsi="宋体" w:eastAsia="宋体" w:cs="Times New Roman"/>
          <w:kern w:val="0"/>
          <w:sz w:val="24"/>
          <w:szCs w:val="24"/>
        </w:rPr>
        <w:sectPr>
          <w:headerReference r:id="rId3" w:type="default"/>
          <w:footerReference r:id="rId4" w:type="default"/>
          <w:pgSz w:w="11906" w:h="16838"/>
          <w:pgMar w:top="2098" w:right="1474" w:bottom="1985" w:left="1588" w:header="851" w:footer="851" w:gutter="0"/>
          <w:pgNumType w:start="1"/>
          <w:cols w:space="425" w:num="1"/>
          <w:docGrid w:type="linesAndChars" w:linePitch="579" w:charSpace="-1844"/>
        </w:sectPr>
      </w:pPr>
      <w:r>
        <w:rPr>
          <w:rFonts w:hint="eastAsia" w:ascii="宋体" w:hAnsi="宋体" w:eastAsia="宋体" w:cs="Times New Roman"/>
          <w:kern w:val="0"/>
          <w:sz w:val="24"/>
          <w:szCs w:val="24"/>
        </w:rPr>
        <w:t xml:space="preserve">                              </w:t>
      </w:r>
    </w:p>
    <w:p>
      <w:pPr>
        <w:pStyle w:val="2"/>
        <w:adjustRightInd w:val="0"/>
        <w:spacing w:line="360" w:lineRule="atLeast"/>
        <w:jc w:val="center"/>
        <w:rPr>
          <w:rFonts w:ascii="黑体" w:hAnsi="黑体" w:eastAsia="黑体"/>
          <w:kern w:val="0"/>
          <w:sz w:val="32"/>
          <w:szCs w:val="32"/>
          <w:lang w:val="zh-CN"/>
        </w:rPr>
      </w:pPr>
      <w:bookmarkStart w:id="4" w:name="_Toc390713967"/>
      <w:bookmarkStart w:id="5" w:name="_Toc435540979"/>
      <w:bookmarkStart w:id="6" w:name="_Toc285612594"/>
      <w:bookmarkStart w:id="7" w:name="_Toc37780284"/>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货物一览表</w:t>
      </w:r>
      <w:bookmarkStart w:id="8" w:name="_Toc285612596"/>
      <w:r>
        <w:rPr>
          <w:rFonts w:ascii="宋体" w:hAnsi="宋体" w:eastAsia="宋体" w:cs="Times New Roman"/>
          <w:kern w:val="0"/>
          <w:sz w:val="24"/>
          <w:szCs w:val="24"/>
        </w:rPr>
        <w:t>及技术</w:t>
      </w:r>
      <w:r>
        <w:rPr>
          <w:rFonts w:hint="eastAsia" w:ascii="宋体" w:hAnsi="宋体" w:eastAsia="宋体" w:cs="Times New Roman"/>
          <w:kern w:val="0"/>
          <w:sz w:val="24"/>
          <w:szCs w:val="24"/>
        </w:rPr>
        <w:t>要求</w:t>
      </w:r>
    </w:p>
    <w:tbl>
      <w:tblPr>
        <w:tblStyle w:val="17"/>
        <w:tblW w:w="5000" w:type="pct"/>
        <w:jc w:val="center"/>
        <w:tblLayout w:type="autofit"/>
        <w:tblCellMar>
          <w:top w:w="0" w:type="dxa"/>
          <w:left w:w="108" w:type="dxa"/>
          <w:bottom w:w="0" w:type="dxa"/>
          <w:right w:w="108" w:type="dxa"/>
        </w:tblCellMar>
      </w:tblPr>
      <w:tblGrid>
        <w:gridCol w:w="814"/>
        <w:gridCol w:w="1988"/>
        <w:gridCol w:w="1025"/>
        <w:gridCol w:w="2593"/>
        <w:gridCol w:w="962"/>
        <w:gridCol w:w="851"/>
        <w:gridCol w:w="827"/>
      </w:tblGrid>
      <w:tr>
        <w:tblPrEx>
          <w:tblCellMar>
            <w:top w:w="0" w:type="dxa"/>
            <w:left w:w="108" w:type="dxa"/>
            <w:bottom w:w="0" w:type="dxa"/>
            <w:right w:w="108" w:type="dxa"/>
          </w:tblCellMar>
        </w:tblPrEx>
        <w:trPr>
          <w:trHeight w:val="1105"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包号</w:t>
            </w:r>
          </w:p>
        </w:tc>
        <w:tc>
          <w:tcPr>
            <w:tcW w:w="1988"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物资名称</w:t>
            </w:r>
          </w:p>
        </w:tc>
        <w:tc>
          <w:tcPr>
            <w:tcW w:w="1025"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规格</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型号</w:t>
            </w:r>
          </w:p>
        </w:tc>
        <w:tc>
          <w:tcPr>
            <w:tcW w:w="25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技术指标参数要求</w:t>
            </w:r>
          </w:p>
        </w:tc>
        <w:tc>
          <w:tcPr>
            <w:tcW w:w="962"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计量</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单位</w:t>
            </w:r>
          </w:p>
        </w:tc>
        <w:tc>
          <w:tcPr>
            <w:tcW w:w="851"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数量</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备注</w:t>
            </w:r>
          </w:p>
        </w:tc>
      </w:tr>
      <w:tr>
        <w:tblPrEx>
          <w:tblCellMar>
            <w:top w:w="0" w:type="dxa"/>
            <w:left w:w="108" w:type="dxa"/>
            <w:bottom w:w="0" w:type="dxa"/>
            <w:right w:w="108" w:type="dxa"/>
          </w:tblCellMar>
        </w:tblPrEx>
        <w:trPr>
          <w:trHeight w:val="915"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988" w:type="dxa"/>
            <w:tcBorders>
              <w:top w:val="single" w:color="auto" w:sz="4" w:space="0"/>
              <w:left w:val="nil"/>
              <w:bottom w:val="single" w:color="auto" w:sz="4" w:space="0"/>
              <w:right w:val="single" w:color="auto" w:sz="4" w:space="0"/>
            </w:tcBorders>
            <w:vAlign w:val="center"/>
          </w:tcPr>
          <w:p>
            <w:pPr>
              <w:adjustRightInd w:val="0"/>
              <w:snapToGrid w:val="0"/>
              <w:spacing w:line="240" w:lineRule="auto"/>
              <w:jc w:val="center"/>
              <w:rPr>
                <w:rFonts w:cs="Times New Roman" w:asciiTheme="minorEastAsia" w:hAnsiTheme="minorEastAsia"/>
                <w:szCs w:val="21"/>
              </w:rPr>
            </w:pPr>
            <w:r>
              <w:rPr>
                <w:rFonts w:hint="eastAsia" w:cs="Times New Roman" w:asciiTheme="minorEastAsia" w:hAnsiTheme="minorEastAsia"/>
                <w:szCs w:val="21"/>
                <w:lang w:val="en-US" w:eastAsia="zh-CN"/>
              </w:rPr>
              <w:t>荧光定量仪</w:t>
            </w:r>
          </w:p>
        </w:tc>
        <w:tc>
          <w:tcPr>
            <w:tcW w:w="1025"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w:t>
            </w:r>
          </w:p>
        </w:tc>
        <w:tc>
          <w:tcPr>
            <w:tcW w:w="25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cs="Times New Roman" w:asciiTheme="minorEastAsia" w:hAnsiTheme="minorEastAsia"/>
                <w:kern w:val="0"/>
                <w:szCs w:val="21"/>
              </w:rPr>
            </w:pPr>
            <w:r>
              <w:rPr>
                <w:rFonts w:hint="eastAsia" w:cs="Times New Roman" w:asciiTheme="minorEastAsia" w:hAnsiTheme="minorEastAsia"/>
                <w:kern w:val="0"/>
                <w:szCs w:val="21"/>
              </w:rPr>
              <w:t>详见谈判文件附件23</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台</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240" w:lineRule="auto"/>
              <w:jc w:val="center"/>
              <w:rPr>
                <w:rFonts w:cs="Times New Roman" w:asciiTheme="minorEastAsia" w:hAnsiTheme="minorEastAsia"/>
                <w:szCs w:val="21"/>
              </w:rPr>
            </w:pPr>
            <w:r>
              <w:rPr>
                <w:rFonts w:hint="eastAsia" w:cs="Times New Roman" w:asciiTheme="minorEastAsia" w:hAnsiTheme="minorEastAsia"/>
                <w:szCs w:val="21"/>
                <w:lang w:val="en-US" w:eastAsia="zh-CN"/>
              </w:rPr>
              <w:t>1</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bookmarkEnd w:id="8"/>
    </w:tbl>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b w:val="0"/>
          <w:bCs w:val="0"/>
          <w:kern w:val="0"/>
          <w:sz w:val="24"/>
          <w:szCs w:val="24"/>
          <w:lang w:val="zh-CN"/>
        </w:rPr>
        <w:t>注：“关键技术指标参数”以“★”标记，有1项不满足按无效投标处理；“重要技术指标参数”以“▲”标记；“一般技术指标参数”不作标记。 投标人须提供★号参数技术支持资料，包括但不限于制造商公开发布的资料【含制造商出具的产品规格表或国家认可权威检测机构出具的检测报告或技术白皮书或产品彩页（含复印件）等】</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ascii="宋体" w:hAnsi="宋体" w:eastAsia="宋体" w:cs="Times New Roman"/>
          <w:kern w:val="0"/>
          <w:sz w:val="24"/>
          <w:szCs w:val="24"/>
          <w:lang w:val="zh-CN"/>
        </w:rPr>
        <w:t>★（一）</w:t>
      </w:r>
      <w:r>
        <w:rPr>
          <w:rFonts w:hint="eastAsia" w:cs="Times New Roman" w:asciiTheme="minorEastAsia" w:hAnsiTheme="minorEastAsia"/>
          <w:kern w:val="0"/>
          <w:sz w:val="24"/>
          <w:szCs w:val="24"/>
          <w:lang w:val="zh-CN"/>
        </w:rPr>
        <w:t>交货时间：</w:t>
      </w:r>
      <w:r>
        <w:rPr>
          <w:rFonts w:hint="eastAsia" w:cs="Times New Roman" w:asciiTheme="minorEastAsia" w:hAnsiTheme="minorEastAsia"/>
          <w:kern w:val="0"/>
          <w:sz w:val="24"/>
          <w:szCs w:val="24"/>
          <w:u w:val="single"/>
        </w:rPr>
        <w:t>在采购合同签订后90个日历日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（二）售后服务</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保修期：自验收合格之日起，整机免费保修期至少</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整机免费保修期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ascii="楷体" w:hAnsi="楷体" w:eastAsia="楷体" w:cs="Times New Roman"/>
          <w:sz w:val="28"/>
          <w:szCs w:val="28"/>
        </w:rPr>
        <w:t xml:space="preserve"> </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6.凡涉及与我院HIS、LIS、PACS、电生理系统、病理信息系统等系统连接的设备，要求具有标准数字接口，若产品没有匹配的接口，由成交供应商负责改造并承担相应费用。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所有设备应在报价文件商务条款中列出第4-5年全保费用金额，5年以后全保费用金额（如：免费保修3年，第4-5年全保费用不超过合同成交价的3%，5年以后全保费用不超过合同成交价的5%），未列出的按该项条款执行。</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9.</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spacing w:line="440" w:lineRule="exact"/>
        <w:ind w:firstLine="462" w:firstLineChars="200"/>
        <w:rPr>
          <w:rFonts w:ascii="宋体" w:hAnsi="宋体" w:eastAsia="宋体" w:cs="Times New Roman"/>
          <w:kern w:val="0"/>
          <w:sz w:val="24"/>
          <w:szCs w:val="24"/>
          <w:lang w:val="zh-CN"/>
        </w:rPr>
      </w:pPr>
      <w:r>
        <w:rPr>
          <w:rFonts w:hint="eastAsia" w:cs="Arial" w:asciiTheme="minorEastAsia" w:hAnsiTheme="minorEastAsia"/>
          <w:sz w:val="24"/>
          <w:szCs w:val="24"/>
        </w:rPr>
        <w:t>10.若此次谈判设备需配套使用耗材（试剂），耗材（试剂）需要一并进行报价，视情纳入计算经济分</w:t>
      </w:r>
      <w:r>
        <w:rPr>
          <w:rFonts w:hint="eastAsia" w:ascii="宋体" w:hAnsi="宋体" w:eastAsia="宋体" w:cs="Times New Roman"/>
          <w:kern w:val="0"/>
          <w:sz w:val="24"/>
          <w:szCs w:val="24"/>
          <w:lang w:val="zh-CN"/>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★（三）</w:t>
      </w:r>
      <w:r>
        <w:rPr>
          <w:rFonts w:hint="eastAsia" w:ascii="宋体" w:hAnsi="宋体" w:eastAsia="宋体" w:cs="Times New Roman"/>
          <w:kern w:val="0"/>
          <w:sz w:val="24"/>
          <w:szCs w:val="24"/>
        </w:rPr>
        <w:t>专利权和保密要求</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报价方应保证使用方在使用该货物或其任何一部分时，不受第三方侵权指控。同时，报价方保证不向第三方泄露采购机构提供的技术文件等资料。</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rPr>
          <w:rFonts w:hint="eastAsia" w:ascii="黑体" w:hAnsi="黑体" w:eastAsia="黑体"/>
          <w:kern w:val="0"/>
          <w:sz w:val="32"/>
          <w:szCs w:val="32"/>
        </w:rPr>
      </w:pPr>
      <w:bookmarkStart w:id="9" w:name="_Toc390713968"/>
      <w:bookmarkStart w:id="10" w:name="_Toc240432230"/>
      <w:bookmarkStart w:id="11" w:name="_Toc37780285"/>
      <w:bookmarkStart w:id="12" w:name="_Toc435540980"/>
      <w:bookmarkStart w:id="13" w:name="_Toc285612601"/>
      <w:r>
        <w:rPr>
          <w:rFonts w:hint="eastAsia" w:ascii="黑体" w:hAnsi="黑体" w:eastAsia="黑体"/>
          <w:kern w:val="0"/>
          <w:sz w:val="32"/>
          <w:szCs w:val="32"/>
        </w:rPr>
        <w:br w:type="page"/>
      </w:r>
    </w:p>
    <w:p>
      <w:pPr>
        <w:pStyle w:val="2"/>
        <w:adjustRightInd w:val="0"/>
        <w:snapToGrid w:val="0"/>
        <w:spacing w:line="360" w:lineRule="atLeast"/>
        <w:jc w:val="center"/>
        <w:rPr>
          <w:rFonts w:ascii="黑体" w:hAnsi="黑体" w:eastAsia="黑体"/>
          <w:kern w:val="0"/>
          <w:sz w:val="32"/>
          <w:szCs w:val="32"/>
        </w:rPr>
      </w:pPr>
      <w:r>
        <w:rPr>
          <w:rFonts w:hint="eastAsia" w:ascii="黑体" w:hAnsi="黑体" w:eastAsia="黑体"/>
          <w:kern w:val="0"/>
          <w:sz w:val="32"/>
          <w:szCs w:val="32"/>
        </w:rPr>
        <w:t xml:space="preserve">第三部分  </w:t>
      </w:r>
      <w:r>
        <w:rPr>
          <w:rFonts w:hint="eastAsia" w:ascii="黑体" w:hAnsi="黑体" w:eastAsia="黑体"/>
          <w:kern w:val="0"/>
          <w:sz w:val="32"/>
          <w:szCs w:val="32"/>
          <w:lang w:val="zh-CN"/>
        </w:rPr>
        <w:t>报价方</w:t>
      </w:r>
      <w:r>
        <w:rPr>
          <w:rFonts w:hint="eastAsia" w:ascii="黑体" w:hAnsi="黑体" w:eastAsia="黑体"/>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jc w:val="center"/>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说</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明</w:t>
      </w:r>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（一）概述</w:t>
      </w:r>
    </w:p>
    <w:p>
      <w:pPr>
        <w:autoSpaceDE w:val="0"/>
        <w:autoSpaceDN w:val="0"/>
        <w:spacing w:line="360" w:lineRule="atLeas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snapToGrid w:val="0"/>
          <w:kern w:val="0"/>
          <w:sz w:val="24"/>
          <w:szCs w:val="24"/>
          <w:lang w:val="zh-CN"/>
        </w:rPr>
        <w:t>本谈判文件仅适用于《采购公告》中所述采购项目的谈判采购；</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1.“采购项目”系指本谈判文件里描述的所需采购的货物和相关服务；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2.“采购机构”系指组织本次谈判的</w:t>
      </w:r>
      <w:r>
        <w:rPr>
          <w:rFonts w:hint="eastAsia" w:ascii="宋体" w:hAnsi="宋体" w:eastAsia="宋体" w:cs="Times New Roman"/>
          <w:snapToGrid w:val="0"/>
          <w:kern w:val="0"/>
          <w:sz w:val="24"/>
          <w:szCs w:val="24"/>
          <w:u w:val="single"/>
          <w:lang w:val="zh-CN"/>
        </w:rPr>
        <w:t xml:space="preserve">  物资采购中心  </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5.“货物”系指成交供应商按谈判文件规定，所提供的各种形态和种类的物品，包括设备、产品、备品备件、工具、手册等；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6.“服务”系指成交供应商按谈判文件规定，必须承担的运输、安装、调试、技术协助、培训、维修、配件供应等义务。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（四）合格的货物和相关服务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2.报价方提供的货物必须是全新的、未使用过的，货物和相关服务应当符合谈判文件的要求，并且其质量完全符合国家标准、军用标准或行业标准。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如报价方代表不是法定代表人，须持有《法定代表人授权书》（</w:t>
      </w:r>
      <w:r>
        <w:rPr>
          <w:rFonts w:hint="eastAsia" w:ascii="宋体" w:hAnsi="宋体" w:eastAsia="宋体" w:cs="Times New Roman"/>
          <w:kern w:val="0"/>
          <w:sz w:val="24"/>
          <w:szCs w:val="24"/>
          <w:lang w:val="zh-CN"/>
        </w:rPr>
        <w:t>附件17</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ascii="宋体" w:hAnsi="宋体" w:eastAsia="宋体" w:cs="Times New Roman"/>
          <w:kern w:val="0"/>
          <w:sz w:val="24"/>
          <w:szCs w:val="24"/>
          <w:lang w:val="zh-CN"/>
        </w:rPr>
        <w:t>1.</w:t>
      </w:r>
      <w:r>
        <w:rPr>
          <w:rFonts w:hint="eastAsia" w:cs="Times New Roman" w:asciiTheme="minorEastAsia" w:hAnsiTheme="minorEastAsia"/>
          <w:kern w:val="0"/>
          <w:sz w:val="24"/>
          <w:szCs w:val="24"/>
          <w:lang w:val="zh-CN"/>
        </w:rPr>
        <w:t xml:space="preserve"> 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cs="Times New Roman" w:asciiTheme="minorEastAsia" w:hAnsiTheme="minorEastAsia"/>
          <w:kern w:val="0"/>
          <w:sz w:val="24"/>
          <w:szCs w:val="24"/>
          <w:lang w:val="zh-CN"/>
        </w:rPr>
        <w:t>2.预留质量保证金为合同总金额的</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自验收合格之日起，</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十二个月 </w:t>
      </w:r>
      <w:r>
        <w:rPr>
          <w:rFonts w:hint="eastAsia" w:cs="Times New Roman" w:asciiTheme="minorEastAsia" w:hAnsiTheme="minorEastAsia"/>
          <w:kern w:val="0"/>
          <w:sz w:val="24"/>
          <w:szCs w:val="24"/>
        </w:rPr>
        <w:t>正常使用且无质量问题时，一次性结清</w:t>
      </w:r>
      <w:r>
        <w:rPr>
          <w:rFonts w:hint="eastAsia" w:ascii="宋体" w:hAnsi="宋体" w:eastAsia="宋体" w:cs="Times New Roman"/>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（八）信息发布</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本采购项目需要公开的有关信息，采购机构均</w:t>
      </w:r>
      <w:r>
        <w:rPr>
          <w:rFonts w:hint="eastAsia" w:cs="Times New Roman" w:asciiTheme="minorEastAsia" w:hAnsiTheme="minorEastAsia"/>
          <w:snapToGrid w:val="0"/>
          <w:kern w:val="0"/>
          <w:sz w:val="24"/>
          <w:szCs w:val="24"/>
          <w:lang w:val="zh-CN"/>
        </w:rPr>
        <w:t>通过中国政府采购网（www.ccgp.gov.cn）及我院官网（www.xnyy.cn）公开发布</w:t>
      </w:r>
      <w:r>
        <w:rPr>
          <w:rFonts w:hint="eastAsia" w:ascii="宋体" w:hAnsi="宋体" w:eastAsia="宋体" w:cs="Times New Roman"/>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kern w:val="0"/>
          <w:sz w:val="24"/>
          <w:szCs w:val="24"/>
          <w:lang w:val="zh-CN"/>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二、谈判</w:t>
      </w:r>
      <w:r>
        <w:rPr>
          <w:rFonts w:ascii="宋体" w:hAnsi="宋体" w:eastAsia="宋体" w:cs="Times New Roman"/>
          <w:kern w:val="0"/>
          <w:sz w:val="24"/>
          <w:szCs w:val="24"/>
        </w:rPr>
        <w:t>文件</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（一）谈判文件的内容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谈判文件由采购公告、采购项目技术和商务要求、报价方须知、合同样本、附件/报价文件格式等内容构成。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（二）谈判文件的澄清</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（三）谈判文件的修改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3.为使报价方有足够时间修改报价文件，采购机构可酌情推迟报价文件提交截止时间和谈判时间，并在报价文件提交截止时间3日前以书面形式通知所有报价方。</w:t>
      </w:r>
    </w:p>
    <w:p>
      <w:pPr>
        <w:spacing w:line="440" w:lineRule="exact"/>
        <w:ind w:firstLine="462" w:firstLineChars="200"/>
        <w:rPr>
          <w:rFonts w:ascii="宋体" w:hAnsi="宋体" w:eastAsia="宋体" w:cs="Times New Roman"/>
          <w:snapToGrid w:val="0"/>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报价文件编制</w:t>
      </w:r>
    </w:p>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（一）注意事项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（二）报价文件的语言及计量单位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（三）报价文件组成（包括两部分：报价书、资格证明文件）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1.报价书包括：</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(1)报价函（附件1）</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(2)报价一览表（附件2）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hint="eastAsia" w:cs="Times New Roman" w:asciiTheme="minorEastAsia" w:hAnsiTheme="minorEastAsia"/>
          <w:snapToGrid w:val="0"/>
          <w:kern w:val="0"/>
          <w:sz w:val="24"/>
          <w:szCs w:val="24"/>
        </w:rPr>
        <w:t>分项报价表</w:t>
      </w:r>
      <w:r>
        <w:rPr>
          <w:rFonts w:hint="eastAsia" w:ascii="宋体" w:hAnsi="宋体" w:eastAsia="宋体" w:cs="Times New Roman"/>
          <w:kern w:val="0"/>
          <w:sz w:val="24"/>
          <w:szCs w:val="24"/>
        </w:rPr>
        <w:t>（附件3）</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hint="eastAsia" w:ascii="宋体" w:hAnsi="宋体" w:eastAsia="宋体" w:cs="Times New Roman"/>
          <w:snapToGrid w:val="0"/>
          <w:kern w:val="0"/>
          <w:sz w:val="24"/>
          <w:szCs w:val="24"/>
        </w:rPr>
        <w:t>货物简要说明一览表（附件4）</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(5)主要技术性能参数表（附件5）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(6)技术指标参数响应偏离表（附件6）</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(7)主要商务条款响应偏离表（附件7）</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(8)交货清单（附件8）</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(9)</w:t>
      </w:r>
      <w:r>
        <w:rPr>
          <w:rFonts w:hint="eastAsia" w:ascii="宋体" w:hAnsi="宋体" w:eastAsia="宋体" w:cs="Times New Roman"/>
          <w:kern w:val="0"/>
          <w:sz w:val="24"/>
          <w:szCs w:val="24"/>
        </w:rPr>
        <w:t>易损易耗件清单（附件9）</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w:t>
      </w:r>
      <w:r>
        <w:rPr>
          <w:rFonts w:hint="eastAsia" w:cs="Times New Roman" w:asciiTheme="minorEastAsia" w:hAnsiTheme="minorEastAsia"/>
          <w:kern w:val="0"/>
          <w:sz w:val="24"/>
          <w:szCs w:val="24"/>
        </w:rPr>
        <w:t>专机配套耗材（试剂）明细表（附件10）</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w:t>
      </w:r>
      <w:r>
        <w:rPr>
          <w:rFonts w:hint="eastAsia" w:cs="Times New Roman" w:asciiTheme="minorEastAsia" w:hAnsiTheme="minorEastAsia"/>
          <w:kern w:val="0"/>
          <w:sz w:val="24"/>
          <w:szCs w:val="24"/>
        </w:rPr>
        <w:t>报价方售后服务承诺</w:t>
      </w:r>
      <w:r>
        <w:rPr>
          <w:rFonts w:hint="eastAsia" w:ascii="宋体" w:hAnsi="宋体" w:eastAsia="宋体" w:cs="Times New Roman"/>
          <w:kern w:val="0"/>
          <w:sz w:val="24"/>
          <w:szCs w:val="24"/>
        </w:rPr>
        <w:t>（附件11）</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w:t>
      </w:r>
      <w:r>
        <w:rPr>
          <w:rFonts w:hint="eastAsia" w:cs="Times New Roman" w:asciiTheme="minorEastAsia" w:hAnsiTheme="minorEastAsia"/>
          <w:snapToGrid w:val="0"/>
          <w:kern w:val="0"/>
          <w:sz w:val="24"/>
          <w:szCs w:val="24"/>
          <w:lang w:val="zh-CN"/>
        </w:rPr>
        <w:t>生产厂家售后服务承诺（进口设备由总代提供，附件12</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w:t>
      </w:r>
      <w:r>
        <w:rPr>
          <w:rFonts w:hint="eastAsia" w:cs="Times New Roman" w:asciiTheme="minorEastAsia" w:hAnsiTheme="minorEastAsia"/>
          <w:snapToGrid w:val="0"/>
          <w:kern w:val="0"/>
          <w:sz w:val="24"/>
          <w:szCs w:val="24"/>
          <w:lang w:val="zh-CN"/>
        </w:rPr>
        <w:t>近3年成交案例及同类项目案例</w:t>
      </w:r>
      <w:r>
        <w:rPr>
          <w:rFonts w:hint="eastAsia" w:ascii="宋体" w:hAnsi="宋体" w:eastAsia="宋体" w:cs="Times New Roman"/>
          <w:kern w:val="0"/>
          <w:sz w:val="24"/>
          <w:szCs w:val="24"/>
        </w:rPr>
        <w:t>（附件13）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snapToGrid w:val="0"/>
          <w:kern w:val="0"/>
          <w:sz w:val="24"/>
          <w:szCs w:val="24"/>
          <w:lang w:val="zh-CN"/>
        </w:rPr>
        <w:t>(14)</w:t>
      </w:r>
      <w:r>
        <w:rPr>
          <w:rFonts w:hint="eastAsia" w:cs="Times New Roman" w:asciiTheme="minorEastAsia" w:hAnsiTheme="minorEastAsia"/>
          <w:kern w:val="0"/>
          <w:sz w:val="24"/>
          <w:szCs w:val="24"/>
        </w:rPr>
        <w:t>产品相关检测报告</w:t>
      </w:r>
    </w:p>
    <w:p>
      <w:pPr>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(15)</w:t>
      </w:r>
      <w:r>
        <w:rPr>
          <w:rFonts w:hint="eastAsia" w:cs="Times New Roman" w:asciiTheme="minorEastAsia" w:hAnsiTheme="minorEastAsia"/>
          <w:kern w:val="0"/>
          <w:sz w:val="24"/>
          <w:szCs w:val="24"/>
        </w:rPr>
        <w:t>技术评审表（附件14）</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(16)</w:t>
      </w:r>
      <w:r>
        <w:rPr>
          <w:rFonts w:hint="eastAsia" w:cs="Times New Roman" w:asciiTheme="minorEastAsia" w:hAnsiTheme="minorEastAsia"/>
          <w:kern w:val="0"/>
          <w:sz w:val="24"/>
          <w:szCs w:val="24"/>
        </w:rPr>
        <w:t>商务评审表（附件15）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(17)</w:t>
      </w:r>
      <w:r>
        <w:rPr>
          <w:rFonts w:hint="eastAsia" w:cs="Times New Roman" w:asciiTheme="minorEastAsia" w:hAnsiTheme="minorEastAsia"/>
          <w:kern w:val="0"/>
          <w:sz w:val="24"/>
          <w:szCs w:val="24"/>
        </w:rPr>
        <w:t>报价方认为需要加以说明的其他内容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(18)报价方</w:t>
      </w:r>
      <w:r>
        <w:rPr>
          <w:rFonts w:hint="eastAsia" w:cs="Times New Roman" w:asciiTheme="minorEastAsia" w:hAnsiTheme="minorEastAsia"/>
          <w:kern w:val="0"/>
          <w:sz w:val="24"/>
          <w:szCs w:val="24"/>
        </w:rPr>
        <w:t>可以选择性提供其他材料，包括但不限于质量管理制度、质量检测机构、质量检测设备（提供设备清单和图片），以及第三方质量检测报告等与质量控制相关的证明材料及报价方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(3)法定代表人授权书（含被授权人身份证复印件）（原件，如法定代表人未到现场需提供，附件17）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(5)保密承诺书（附件19）</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（附件20）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(10)相关声明书（包含但不限于以下内容）：①非外资企业或外资控股企业的书面声明；②参加本次采购活动前3年内在经营活动中没有重大违法记录的书面声明。（附件21）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(11)医疗器械经营许可证或二类备案凭证（需具备相应产品经营资格)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(13)生产企业《医疗器械生产许可证》（需具备相应产品生产资格，进口产品提供国内总代理相关经营许可证）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 生产企业对代理公司参与报价的授权书（进口产品需提供原产厂家对中国总代的中英文授权书复印件或同步翻译件。附件22）</w:t>
      </w:r>
    </w:p>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(16)报价方认为需要加以说明的其他内容</w:t>
      </w:r>
    </w:p>
    <w:p>
      <w:pPr>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(17)</w:t>
      </w:r>
      <w:r>
        <w:rPr>
          <w:rFonts w:hint="eastAsia"/>
        </w:rPr>
        <w:t xml:space="preserve"> </w:t>
      </w:r>
      <w:r>
        <w:rPr>
          <w:rFonts w:hint="eastAsia" w:cs="Times New Roman" w:asciiTheme="minorEastAsia" w:hAnsiTheme="minorEastAsia"/>
          <w:kern w:val="0"/>
          <w:sz w:val="24"/>
          <w:szCs w:val="24"/>
        </w:rPr>
        <w:t>报价方可以选择性提供其他资格证明文件，包括但不限于质量管理体系认证证书、环境管理体系认证证书、职业健康管理体系认证证书、3C认证、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等相关行业资质证明材料，仅作为商务、技术评审依据，不作为资格性和符合性审查要素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报价方必须按上述统一格式及顺序向采购机构提供《报价书》和《资格证明文件》，否则可能被视为无效报价。</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（四）报价文件的格式规定和签署</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报价文件应当工整、规范、统一、清晰，</w:t>
      </w:r>
      <w:r>
        <w:rPr>
          <w:rFonts w:hint="eastAsia" w:ascii="宋体" w:hAnsi="宋体" w:eastAsia="宋体" w:cs="Times New Roman"/>
          <w:b/>
          <w:kern w:val="0"/>
          <w:sz w:val="24"/>
          <w:szCs w:val="24"/>
        </w:rPr>
        <w:t>采用A4幅面纸胶装成册、标注页码</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2.</w:t>
      </w:r>
      <w:r>
        <w:rPr>
          <w:rFonts w:hint="eastAsia" w:ascii="宋体" w:hAnsi="宋体" w:eastAsia="宋体" w:cs="Times New Roman"/>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3.报价方名称应当填写全称，同时加盖公章</w:t>
      </w:r>
      <w:r>
        <w:rPr>
          <w:rFonts w:hint="eastAsia" w:ascii="宋体" w:hAnsi="宋体" w:eastAsia="宋体" w:cs="Times New Roman"/>
          <w:snapToGrid w:val="0"/>
          <w:kern w:val="0"/>
          <w:sz w:val="24"/>
          <w:szCs w:val="24"/>
        </w:rPr>
        <w:t>，</w:t>
      </w:r>
      <w:r>
        <w:rPr>
          <w:rFonts w:hint="eastAsia" w:ascii="宋体" w:hAnsi="宋体" w:eastAsia="宋体" w:cs="Times New Roman"/>
          <w:kern w:val="0"/>
          <w:sz w:val="24"/>
          <w:szCs w:val="24"/>
          <w:lang w:val="zh-CN"/>
        </w:rPr>
        <w:t>公章与</w:t>
      </w:r>
      <w:r>
        <w:rPr>
          <w:rFonts w:hint="eastAsia" w:ascii="宋体" w:hAnsi="宋体" w:eastAsia="宋体" w:cs="Times New Roman"/>
          <w:snapToGrid w:val="0"/>
          <w:kern w:val="0"/>
          <w:sz w:val="24"/>
          <w:szCs w:val="24"/>
        </w:rPr>
        <w:t>全称</w:t>
      </w:r>
      <w:r>
        <w:rPr>
          <w:rFonts w:hint="eastAsia" w:ascii="宋体" w:hAnsi="宋体" w:eastAsia="宋体" w:cs="Times New Roman"/>
          <w:kern w:val="0"/>
          <w:sz w:val="24"/>
          <w:szCs w:val="24"/>
          <w:lang w:val="zh-CN"/>
        </w:rPr>
        <w:t>相符</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4.报价书、资格证明文件须单独封装。报价书一式</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3</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2</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份；资格证明文件一式</w:t>
      </w:r>
      <w:r>
        <w:rPr>
          <w:rFonts w:hint="eastAsia" w:ascii="宋体" w:hAnsi="宋体" w:eastAsia="宋体" w:cs="Times New Roman"/>
          <w:kern w:val="0"/>
          <w:sz w:val="24"/>
          <w:szCs w:val="24"/>
          <w:u w:val="single"/>
        </w:rPr>
        <w:t xml:space="preserve"> 3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2 </w:t>
      </w:r>
      <w:r>
        <w:rPr>
          <w:rFonts w:hint="eastAsia" w:ascii="宋体" w:hAnsi="宋体" w:eastAsia="宋体" w:cs="Times New Roman"/>
          <w:kern w:val="0"/>
          <w:sz w:val="24"/>
          <w:szCs w:val="24"/>
        </w:rPr>
        <w:t>份。在每一份文件上要注明“报价书”、“资格证明文件”、“正本”或“副本”字样。</w:t>
      </w:r>
      <w:r>
        <w:rPr>
          <w:rFonts w:hint="eastAsia" w:cs="Times New Roman" w:asciiTheme="minorEastAsia" w:hAnsiTheme="minorEastAsia"/>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8.报价文件</w:t>
      </w:r>
      <w:r>
        <w:rPr>
          <w:rFonts w:hint="eastAsia" w:ascii="宋体" w:hAnsi="宋体" w:eastAsia="宋体" w:cs="Times New Roman"/>
          <w:kern w:val="0"/>
          <w:sz w:val="24"/>
          <w:szCs w:val="24"/>
          <w:lang w:val="zh-CN"/>
        </w:rPr>
        <w:t>因字迹潦草或表述不清以及复印件不清所引起的后果由报价方自行负责</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snapToGrid w:val="0"/>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报价文件自提交截止之日起</w:t>
      </w:r>
      <w:r>
        <w:rPr>
          <w:rFonts w:hint="eastAsia" w:ascii="宋体" w:hAnsi="宋体" w:eastAsia="宋体" w:cs="宋体"/>
          <w:snapToGrid w:val="0"/>
          <w:kern w:val="0"/>
          <w:sz w:val="24"/>
          <w:szCs w:val="24"/>
          <w:lang w:val="zh-CN"/>
        </w:rPr>
        <w:t>180</w:t>
      </w:r>
      <w:r>
        <w:rPr>
          <w:rFonts w:hint="eastAsia" w:ascii="宋体" w:hAnsi="宋体" w:eastAsia="宋体" w:cs="Times New Roman"/>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3.在采购过程中</w:t>
      </w:r>
      <w:r>
        <w:rPr>
          <w:rFonts w:hint="eastAsia" w:ascii="宋体" w:hAnsi="宋体" w:eastAsia="宋体" w:cs="Times New Roman"/>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（六）谈判</w:t>
      </w:r>
      <w:r>
        <w:rPr>
          <w:rFonts w:hint="eastAsia" w:ascii="宋体" w:hAnsi="宋体" w:eastAsia="宋体" w:cs="Times New Roman"/>
          <w:snapToGrid w:val="0"/>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所有报价均以人民币为货币单位</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所有单价和总价按照报价一览表和合同格式要求填报。</w:t>
      </w:r>
      <w:r>
        <w:rPr>
          <w:rFonts w:hint="eastAsia" w:ascii="宋体" w:hAnsi="宋体" w:eastAsia="宋体" w:cs="宋体"/>
          <w:snapToGrid w:val="0"/>
          <w:kern w:val="0"/>
          <w:sz w:val="24"/>
          <w:szCs w:val="24"/>
          <w:lang w:val="zh-CN"/>
        </w:rPr>
        <w:t>报价应包括货款、标准附件、备品备件、专用工具、包装、安装、调试、培训、保修等费用和税金。</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宋体"/>
          <w:snapToGrid w:val="0"/>
          <w:kern w:val="0"/>
          <w:sz w:val="24"/>
          <w:szCs w:val="24"/>
          <w:lang w:val="zh-CN"/>
        </w:rPr>
        <w:t>3.</w:t>
      </w:r>
      <w:r>
        <w:rPr>
          <w:rFonts w:hint="eastAsia" w:ascii="宋体" w:hAnsi="宋体" w:eastAsia="宋体" w:cs="Times New Roman"/>
          <w:kern w:val="0"/>
          <w:sz w:val="24"/>
          <w:szCs w:val="24"/>
          <w:lang w:val="zh-CN"/>
        </w:rPr>
        <w:t>报价文件的大写金额与小写金额不一致的，以大写金额为准，</w:t>
      </w:r>
      <w:r>
        <w:rPr>
          <w:rFonts w:hint="eastAsia" w:cs="Times New Roman" w:asciiTheme="minorEastAsia" w:hAnsiTheme="minor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4.报价方</w:t>
      </w:r>
      <w:r>
        <w:rPr>
          <w:rFonts w:hint="eastAsia" w:ascii="宋体" w:hAnsi="宋体" w:eastAsia="宋体" w:cs="Times New Roman"/>
          <w:kern w:val="0"/>
          <w:sz w:val="24"/>
          <w:szCs w:val="24"/>
        </w:rPr>
        <w:t>对同一种货物每次报价只允许有一种报价，采购机构不接受任何有选择的报价。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四、</w:t>
      </w:r>
      <w:r>
        <w:rPr>
          <w:rFonts w:ascii="宋体" w:hAnsi="宋体" w:eastAsia="宋体" w:cs="Times New Roman"/>
          <w:kern w:val="0"/>
          <w:sz w:val="24"/>
          <w:szCs w:val="24"/>
        </w:rPr>
        <w:t>报价文件</w:t>
      </w:r>
      <w:r>
        <w:rPr>
          <w:rFonts w:hint="eastAsia" w:ascii="宋体" w:hAnsi="宋体" w:eastAsia="宋体" w:cs="Times New Roman"/>
          <w:kern w:val="0"/>
          <w:sz w:val="24"/>
          <w:szCs w:val="24"/>
        </w:rPr>
        <w:t>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（一）报价文件密封及标记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bCs/>
          <w:kern w:val="0"/>
          <w:sz w:val="24"/>
          <w:szCs w:val="24"/>
        </w:rPr>
        <w:t>1.报价方应当将报价</w:t>
      </w:r>
      <w:r>
        <w:rPr>
          <w:rFonts w:hint="eastAsia" w:ascii="宋体" w:hAnsi="宋体" w:eastAsia="宋体" w:cs="Times New Roman"/>
          <w:kern w:val="0"/>
          <w:sz w:val="24"/>
          <w:szCs w:val="24"/>
          <w:lang w:val="zh-CN"/>
        </w:rPr>
        <w:t>文件的正本和副本统一装入密封袋内，封口处应当有报价方单位公章，封面</w:t>
      </w:r>
      <w:r>
        <w:rPr>
          <w:rFonts w:hint="eastAsia" w:ascii="宋体" w:hAnsi="宋体" w:eastAsia="宋体" w:cs="Times New Roman"/>
          <w:kern w:val="0"/>
          <w:sz w:val="24"/>
          <w:szCs w:val="24"/>
        </w:rPr>
        <w:t>上注明“报价文件、谈判项目名称、项目编号、包号、</w:t>
      </w:r>
      <w:r>
        <w:rPr>
          <w:rFonts w:hint="eastAsia" w:ascii="宋体" w:hAnsi="宋体" w:eastAsia="宋体" w:cs="Times New Roman"/>
          <w:kern w:val="0"/>
          <w:sz w:val="24"/>
          <w:szCs w:val="24"/>
          <w:lang w:val="zh-CN"/>
        </w:rPr>
        <w:t>报价方</w:t>
      </w:r>
      <w:r>
        <w:rPr>
          <w:rFonts w:hint="eastAsia" w:ascii="宋体" w:hAnsi="宋体" w:eastAsia="宋体" w:cs="Times New Roman"/>
          <w:kern w:val="0"/>
          <w:sz w:val="24"/>
          <w:szCs w:val="24"/>
        </w:rPr>
        <w:t>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lang w:val="zh-CN"/>
        </w:rPr>
        <w:t>（二）</w:t>
      </w:r>
      <w:r>
        <w:rPr>
          <w:rFonts w:hint="eastAsia" w:ascii="宋体" w:hAnsi="宋体" w:eastAsia="宋体" w:cs="Times New Roman"/>
          <w:snapToGrid w:val="0"/>
          <w:kern w:val="0"/>
          <w:sz w:val="24"/>
          <w:szCs w:val="24"/>
        </w:rPr>
        <w:t>报价文件的修改和撤回</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4.谈判开始后，报价方不得撤回报价文件。</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五、谈判报价与评审</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（一）评审委员会</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（二）谈判方式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（三）评审要求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(1)严格遵守公平、公正、择优的原则；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(2)对所有响应谈判文件实质性要求的报价方一视同仁；</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(3)</w:t>
      </w:r>
      <w:r>
        <w:rPr>
          <w:rFonts w:hint="eastAsia" w:ascii="宋体" w:hAnsi="宋体" w:eastAsia="宋体" w:cs="宋体"/>
          <w:snapToGrid w:val="0"/>
          <w:kern w:val="0"/>
          <w:sz w:val="24"/>
          <w:szCs w:val="24"/>
          <w:lang w:val="zh-CN"/>
        </w:rPr>
        <w:t>综合比较货物性能、质量、价格、交货期、售后服务等因素，确定评审排序结果；</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(4)报价最低不作为成交的保证。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2.评审有关要求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（四）评审方法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综合评分法。技术和商务评审总得分由高到低顺序排列，最高的报价方作为预成交供应商；得分相同的，按照报价由低到高顺序排列；得分且报价相同的，按照技术评审得分由高到低顺序排列。</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成员技术、商务（不含价格因素）最终评分偏离</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全体成员评分均值±20%的，该成员的评分将被剔除，以其他评委的评分均值计算，作为该成员的评分计入总分值；</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所有成员评分均超出±20%时，直接以全体成员评分均值计算，不再剔除。</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报价方报价高于采购预算的，不得推荐为预成交供应商（经采购管理部门批准同意的除外）。</w:t>
      </w:r>
    </w:p>
    <w:p>
      <w:pPr>
        <w:spacing w:line="440" w:lineRule="exact"/>
        <w:rPr>
          <w:rFonts w:ascii="宋体" w:hAnsi="宋体" w:eastAsia="宋体" w:cs="Times New Roman"/>
          <w:kern w:val="0"/>
          <w:sz w:val="24"/>
          <w:szCs w:val="24"/>
        </w:rPr>
      </w:pPr>
      <w:r>
        <w:rPr>
          <w:rFonts w:ascii="宋体" w:hAnsi="宋体" w:eastAsia="宋体" w:cs="Times New Roman"/>
          <w:color w:val="3366FF"/>
          <w:kern w:val="0"/>
          <w:sz w:val="24"/>
          <w:szCs w:val="24"/>
        </w:rPr>
        <w:br w:type="page"/>
      </w:r>
      <w:r>
        <w:rPr>
          <w:rFonts w:hint="eastAsia" w:ascii="宋体" w:hAnsi="宋体" w:eastAsia="宋体" w:cs="Times New Roman"/>
          <w:kern w:val="0"/>
          <w:sz w:val="24"/>
          <w:szCs w:val="24"/>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spacing w:line="440" w:lineRule="exact"/>
        <w:rPr>
          <w:rFonts w:ascii="宋体" w:hAnsi="宋体" w:eastAsia="宋体" w:cs="Times New Roman"/>
          <w:kern w:val="0"/>
          <w:sz w:val="24"/>
          <w:szCs w:val="24"/>
        </w:rPr>
      </w:pPr>
      <w:r>
        <w:rPr>
          <w:rFonts w:ascii="宋体" w:hAnsi="宋体" w:eastAsia="宋体" w:cs="Times New Roman"/>
          <w:kern w:val="0"/>
          <w:sz w:val="24"/>
          <w:szCs w:val="24"/>
        </w:rPr>
        <w:t>项目名称：                   项目编号：                            包号：</w:t>
      </w:r>
    </w:p>
    <w:tbl>
      <w:tblPr>
        <w:tblStyle w:val="17"/>
        <w:tblW w:w="5248" w:type="pct"/>
        <w:jc w:val="center"/>
        <w:tblLayout w:type="fixed"/>
        <w:tblCellMar>
          <w:top w:w="0" w:type="dxa"/>
          <w:left w:w="108" w:type="dxa"/>
          <w:bottom w:w="0" w:type="dxa"/>
          <w:right w:w="108" w:type="dxa"/>
        </w:tblCellMar>
      </w:tblPr>
      <w:tblGrid>
        <w:gridCol w:w="9509"/>
      </w:tblGrid>
      <w:tr>
        <w:tblPrEx>
          <w:tblCellMar>
            <w:top w:w="0" w:type="dxa"/>
            <w:left w:w="108" w:type="dxa"/>
            <w:bottom w:w="0" w:type="dxa"/>
            <w:right w:w="108" w:type="dxa"/>
          </w:tblCellMar>
        </w:tblPrEx>
        <w:trPr>
          <w:trHeight w:val="454" w:hRule="exact"/>
          <w:jc w:val="center"/>
        </w:trPr>
        <w:tc>
          <w:tcPr>
            <w:tcW w:w="95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黑体" w:hAnsi="黑体" w:eastAsia="黑体" w:cs="宋体"/>
                <w:kern w:val="0"/>
                <w:szCs w:val="21"/>
              </w:rPr>
            </w:pPr>
            <w:r>
              <w:rPr>
                <w:rFonts w:hint="eastAsia" w:ascii="黑体" w:hAnsi="黑体" w:eastAsia="黑体" w:cs="宋体"/>
                <w:kern w:val="0"/>
                <w:szCs w:val="21"/>
              </w:rPr>
              <w:t>审查项目</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黑体" w:hAnsi="宋体" w:eastAsia="黑体" w:cs="宋体"/>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2.法定代表人资格证明书和授权书（含法定代表人身份证复印件）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3.主要股东或出资人信息（含被授权人身份证复印件）</w:t>
            </w:r>
          </w:p>
        </w:tc>
      </w:tr>
      <w:tr>
        <w:tblPrEx>
          <w:tblCellMar>
            <w:top w:w="0" w:type="dxa"/>
            <w:left w:w="108" w:type="dxa"/>
            <w:bottom w:w="0" w:type="dxa"/>
            <w:right w:w="108" w:type="dxa"/>
          </w:tblCellMar>
        </w:tblPrEx>
        <w:trPr>
          <w:trHeight w:val="655"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eastAsia="宋体" w:cs="宋体"/>
                <w:kern w:val="0"/>
                <w:szCs w:val="21"/>
              </w:rPr>
            </w:pPr>
            <w:r>
              <w:rPr>
                <w:rFonts w:hint="eastAsia" w:ascii="宋体" w:hAnsi="宋体" w:eastAsia="宋体" w:cs="宋体"/>
                <w:kern w:val="0"/>
                <w:szCs w:val="21"/>
              </w:rPr>
              <w:t>4.最近连续6个月缴纳社会保障金的银行转账汇款单或相应证明材料（依法不需要缴纳社会保障资金的报价方，应提供相应文件证明其不需要缴纳社会保障资金）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eastAsia="宋体" w:cs="宋体"/>
                <w:kern w:val="0"/>
                <w:szCs w:val="21"/>
              </w:rPr>
            </w:pPr>
            <w:r>
              <w:rPr>
                <w:rFonts w:hint="eastAsia" w:ascii="宋体" w:hAnsi="宋体" w:eastAsia="宋体" w:cs="宋体"/>
                <w:kern w:val="0"/>
                <w:szCs w:val="21"/>
              </w:rPr>
              <w:t>5.最近连续6个月纳税的银行转账汇款单或相应证明材料（依法免税的报价方，应提供相应文件证明其依法免税）</w:t>
            </w:r>
          </w:p>
        </w:tc>
      </w:tr>
      <w:tr>
        <w:tblPrEx>
          <w:tblCellMar>
            <w:top w:w="0" w:type="dxa"/>
            <w:left w:w="108" w:type="dxa"/>
            <w:bottom w:w="0" w:type="dxa"/>
            <w:right w:w="108" w:type="dxa"/>
          </w:tblCellMar>
        </w:tblPrEx>
        <w:trPr>
          <w:trHeight w:val="87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rPr>
              <w:t>6.</w:t>
            </w:r>
            <w:r>
              <w:rPr>
                <w:rFonts w:hint="eastAsia"/>
              </w:rPr>
              <w:t xml:space="preserve"> </w:t>
            </w:r>
            <w:r>
              <w:rPr>
                <w:rFonts w:hint="eastAsia" w:ascii="宋体" w:hAnsi="宋体" w:eastAsia="宋体" w:cs="宋体"/>
                <w:kern w:val="0"/>
                <w:szCs w:val="21"/>
              </w:rPr>
              <w:t>良好的商业信誉和健全的财务会计制度证明材料：会计师事务所出具的近3年（不足3年以成立日期起算）审计报告主要内容或公司财务报表，至少包含资产负债表、利润表、现金流量表</w:t>
            </w:r>
          </w:p>
        </w:tc>
      </w:tr>
      <w:tr>
        <w:tblPrEx>
          <w:tblCellMar>
            <w:top w:w="0" w:type="dxa"/>
            <w:left w:w="108" w:type="dxa"/>
            <w:bottom w:w="0" w:type="dxa"/>
            <w:right w:w="108" w:type="dxa"/>
          </w:tblCellMar>
        </w:tblPrEx>
        <w:trPr>
          <w:trHeight w:val="67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kern w:val="0"/>
                <w:szCs w:val="21"/>
              </w:rPr>
            </w:pPr>
            <w:r>
              <w:rPr>
                <w:rFonts w:hint="eastAsia" w:ascii="宋体" w:hAnsi="宋体" w:eastAsia="宋体" w:cs="宋体"/>
                <w:kern w:val="0"/>
                <w:szCs w:val="21"/>
              </w:rPr>
              <w:t>7.</w:t>
            </w:r>
            <w:r>
              <w:rPr>
                <w:rFonts w:hint="eastAsia"/>
              </w:rPr>
              <w:t xml:space="preserve"> 相关声明书：</w:t>
            </w:r>
            <w:r>
              <w:rPr>
                <w:rFonts w:hint="eastAsia" w:ascii="宋体" w:hAnsi="宋体" w:eastAsia="宋体" w:cs="宋体"/>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8.</w:t>
            </w:r>
            <w:r>
              <w:rPr>
                <w:rFonts w:hint="eastAsia"/>
              </w:rPr>
              <w:t xml:space="preserve"> </w:t>
            </w:r>
            <w:r>
              <w:rPr>
                <w:rFonts w:hint="eastAsia" w:ascii="宋体" w:hAnsi="宋体" w:eastAsia="宋体" w:cs="宋体"/>
                <w:kern w:val="0"/>
                <w:szCs w:val="21"/>
              </w:rPr>
              <w:t>医疗器械经营许可证或二类备案凭证（需具备相应产品经营资格；所投产品不属于医疗器械的无需提供)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9.</w:t>
            </w:r>
            <w:r>
              <w:rPr>
                <w:rFonts w:hint="eastAsia"/>
              </w:rPr>
              <w:t xml:space="preserve"> </w:t>
            </w:r>
            <w:r>
              <w:rPr>
                <w:rFonts w:hint="eastAsia" w:ascii="宋体" w:hAnsi="宋体" w:eastAsia="宋体" w:cs="宋体"/>
                <w:kern w:val="0"/>
                <w:szCs w:val="21"/>
              </w:rPr>
              <w:t>生产企业营业执照（进口产品需提供国内总代理营业执照）</w:t>
            </w:r>
          </w:p>
        </w:tc>
      </w:tr>
      <w:tr>
        <w:tblPrEx>
          <w:tblCellMar>
            <w:top w:w="0" w:type="dxa"/>
            <w:left w:w="108" w:type="dxa"/>
            <w:bottom w:w="0" w:type="dxa"/>
            <w:right w:w="108" w:type="dxa"/>
          </w:tblCellMar>
        </w:tblPrEx>
        <w:trPr>
          <w:trHeight w:val="68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10.</w:t>
            </w:r>
            <w:r>
              <w:rPr>
                <w:rFonts w:hint="eastAsia"/>
              </w:rPr>
              <w:t xml:space="preserve"> </w:t>
            </w:r>
            <w:r>
              <w:rPr>
                <w:rFonts w:hint="eastAsia" w:ascii="宋体" w:hAnsi="宋体" w:eastAsia="宋体" w:cs="宋体"/>
                <w:kern w:val="0"/>
                <w:szCs w:val="21"/>
              </w:rPr>
              <w:t>生产企业《医疗器械生产许可证》（需具备相应产品生产资格，进口产品提供国内总代理相关经营许可证；</w:t>
            </w:r>
            <w:r>
              <w:rPr>
                <w:rFonts w:hint="eastAsia" w:cs="Times New Roman" w:asciiTheme="minorEastAsia" w:hAnsiTheme="minorEastAsia"/>
                <w:kern w:val="0"/>
                <w:szCs w:val="21"/>
              </w:rPr>
              <w:t>所投产品不属于医疗器械的无需提供</w:t>
            </w:r>
            <w:r>
              <w:rPr>
                <w:rFonts w:hint="eastAsia" w:ascii="宋体" w:hAnsi="宋体" w:eastAsia="宋体" w:cs="宋体"/>
                <w:kern w:val="0"/>
                <w:szCs w:val="21"/>
              </w:rPr>
              <w:t>）</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11.</w:t>
            </w:r>
            <w:r>
              <w:rPr>
                <w:rFonts w:hint="eastAsia"/>
              </w:rPr>
              <w:t xml:space="preserve"> </w:t>
            </w:r>
            <w:r>
              <w:rPr>
                <w:rFonts w:hint="eastAsia" w:ascii="宋体" w:hAnsi="宋体" w:eastAsia="宋体" w:cs="宋体"/>
                <w:kern w:val="0"/>
                <w:szCs w:val="21"/>
              </w:rPr>
              <w:t>产品《医疗器械产品注册证》（产品不属于医疗器械的无需提供）</w:t>
            </w:r>
          </w:p>
        </w:tc>
      </w:tr>
      <w:tr>
        <w:tblPrEx>
          <w:tblCellMar>
            <w:top w:w="0" w:type="dxa"/>
            <w:left w:w="108" w:type="dxa"/>
            <w:bottom w:w="0" w:type="dxa"/>
            <w:right w:w="108" w:type="dxa"/>
          </w:tblCellMar>
        </w:tblPrEx>
        <w:trPr>
          <w:trHeight w:val="671"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12.</w:t>
            </w:r>
            <w:r>
              <w:rPr>
                <w:rFonts w:hint="eastAsia"/>
              </w:rPr>
              <w:t xml:space="preserve"> </w:t>
            </w:r>
            <w:r>
              <w:rPr>
                <w:rFonts w:hint="eastAsia" w:ascii="宋体" w:hAnsi="宋体" w:eastAsia="宋体" w:cs="宋体"/>
                <w:kern w:val="0"/>
                <w:szCs w:val="21"/>
              </w:rPr>
              <w:t>生产企业对代理公司参与报价的授权书（进口产品需提供原产厂家对中国总代的中英文授权书复印件或同步翻译件）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13.保密承诺书及廉洁诚信承诺书</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二、符合性审查内容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1.报价书、资格证明文件密封完好</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2.报价文件签署、盖章齐全完整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3.报价文件组成齐全完整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4.报价文件有效期满足谈判文件要求</w:t>
            </w:r>
          </w:p>
        </w:tc>
      </w:tr>
      <w:tr>
        <w:tblPrEx>
          <w:tblCellMar>
            <w:top w:w="0" w:type="dxa"/>
            <w:left w:w="108" w:type="dxa"/>
            <w:bottom w:w="0" w:type="dxa"/>
            <w:right w:w="108" w:type="dxa"/>
          </w:tblCellMar>
        </w:tblPrEx>
        <w:trPr>
          <w:trHeight w:val="504" w:hRule="exact"/>
          <w:jc w:val="center"/>
        </w:trPr>
        <w:tc>
          <w:tcPr>
            <w:tcW w:w="9509"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440" w:lineRule="exact"/>
              <w:rPr>
                <w:rFonts w:ascii="宋体" w:hAnsi="宋体" w:eastAsia="宋体" w:cs="宋体"/>
                <w:b/>
                <w:kern w:val="0"/>
                <w:szCs w:val="21"/>
              </w:rPr>
            </w:pPr>
            <w:r>
              <w:rPr>
                <w:rFonts w:hint="eastAsia" w:ascii="宋体" w:hAnsi="宋体" w:eastAsia="宋体" w:cs="宋体"/>
                <w:b/>
                <w:kern w:val="0"/>
                <w:szCs w:val="21"/>
              </w:rPr>
              <w:t>说明：以上资格性和符合性要求均需满足，若有一条不满足，则为无效报价。</w:t>
            </w:r>
          </w:p>
        </w:tc>
      </w:tr>
    </w:tbl>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18"/>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序号</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项目</w:t>
            </w:r>
          </w:p>
        </w:tc>
        <w:tc>
          <w:tcPr>
            <w:tcW w:w="7088" w:type="dxa"/>
            <w:gridSpan w:val="2"/>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评审内容及规则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标准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8648" w:type="dxa"/>
            <w:gridSpan w:val="4"/>
          </w:tcPr>
          <w:p>
            <w:pPr>
              <w:adjustRightInd w:val="0"/>
              <w:snapToGrid w:val="0"/>
              <w:spacing w:line="440" w:lineRule="exact"/>
              <w:jc w:val="center"/>
              <w:rPr>
                <w:rFonts w:cs="Times New Roman" w:asciiTheme="minorEastAsia" w:hAnsiTheme="minorEastAsia" w:eastAsiaTheme="minorEastAsia"/>
                <w:b/>
                <w:bCs/>
                <w:kern w:val="0"/>
                <w:sz w:val="21"/>
                <w:szCs w:val="21"/>
              </w:rPr>
            </w:pPr>
            <w:r>
              <w:rPr>
                <w:rFonts w:hint="eastAsia" w:cs="Times New Roman" w:asciiTheme="minorEastAsia" w:hAnsiTheme="minorEastAsia" w:eastAsiaTheme="minorEastAsia"/>
                <w:b/>
                <w:bCs/>
                <w:kern w:val="0"/>
                <w:sz w:val="21"/>
                <w:szCs w:val="21"/>
              </w:rPr>
              <w:t>商务评审</w:t>
            </w:r>
          </w:p>
        </w:tc>
        <w:tc>
          <w:tcPr>
            <w:tcW w:w="708" w:type="dxa"/>
            <w:vAlign w:val="center"/>
          </w:tcPr>
          <w:p>
            <w:pPr>
              <w:adjustRightInd w:val="0"/>
              <w:snapToGrid w:val="0"/>
              <w:spacing w:line="440" w:lineRule="exact"/>
              <w:jc w:val="center"/>
              <w:rPr>
                <w:rFonts w:cs="Times New Roman" w:asciiTheme="minorEastAsia" w:hAnsiTheme="minorEastAsia" w:eastAsiaTheme="minorEastAsia"/>
                <w:b/>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价  格</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满足谈判文件要求且报价最低的为评审基准价</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价格得分=（评审基准价/报价）×标准分值</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业绩</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比较近三年（截止开标时间）所投产品在</w:t>
            </w:r>
            <w:r>
              <w:rPr>
                <w:rFonts w:hint="eastAsia" w:ascii="宋体" w:hAnsi="宋体" w:eastAsia="宋体" w:cs="Times New Roman"/>
                <w:b/>
                <w:bCs/>
                <w:kern w:val="0"/>
                <w:sz w:val="21"/>
                <w:szCs w:val="21"/>
              </w:rPr>
              <w:t>三甲医院或高等科研院所</w:t>
            </w:r>
            <w:r>
              <w:rPr>
                <w:rFonts w:hint="eastAsia" w:cs="Times New Roman" w:asciiTheme="majorEastAsia" w:hAnsiTheme="majorEastAsia" w:eastAsiaTheme="majorEastAsia"/>
                <w:kern w:val="0"/>
                <w:sz w:val="21"/>
                <w:szCs w:val="21"/>
              </w:rPr>
              <w:t>的销售业绩。以提供的销售合同复印件为准，未盖章或盖章不清晰、总金额或数量不清晰的合同无效。</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业绩得分=（所投产品业绩/基准业绩）×标准分值</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基准业绩=近三年（截止开标时间）所投产品有效合同累计销售最高数量</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852"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企业</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规模</w:t>
            </w:r>
          </w:p>
        </w:tc>
        <w:tc>
          <w:tcPr>
            <w:tcW w:w="7088" w:type="dxa"/>
            <w:gridSpan w:val="2"/>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1.根据报价方近三年平均资产总额进行评分，第一名得1分，依次递减0.2分。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2.根据报价方近三年缴纳社保</w:t>
            </w:r>
            <w:r>
              <w:rPr>
                <w:rFonts w:hint="eastAsia" w:cs="Times New Roman" w:asciiTheme="majorEastAsia" w:hAnsiTheme="majorEastAsia" w:eastAsiaTheme="majorEastAsia"/>
                <w:b/>
                <w:kern w:val="0"/>
                <w:sz w:val="21"/>
                <w:szCs w:val="21"/>
                <w:u w:val="single"/>
              </w:rPr>
              <w:t>总金额</w:t>
            </w:r>
            <w:r>
              <w:rPr>
                <w:rFonts w:hint="eastAsia" w:cs="Times New Roman" w:asciiTheme="majorEastAsia" w:hAnsiTheme="majorEastAsia" w:eastAsiaTheme="majorEastAsia"/>
                <w:kern w:val="0"/>
                <w:sz w:val="21"/>
                <w:szCs w:val="21"/>
              </w:rPr>
              <w:t>由大至小排名，第一名得1分，依次递减0.2分。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四</w:t>
            </w:r>
          </w:p>
        </w:tc>
        <w:tc>
          <w:tcPr>
            <w:tcW w:w="852"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信  誉</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1.报价方近两年连续获得税务部门颁发的企业纳税信用</w:t>
            </w:r>
            <w:r>
              <w:rPr>
                <w:rFonts w:hint="eastAsia" w:cs="Times New Roman" w:asciiTheme="majorEastAsia" w:hAnsiTheme="majorEastAsia" w:eastAsiaTheme="majorEastAsia"/>
                <w:b/>
                <w:kern w:val="0"/>
                <w:sz w:val="21"/>
                <w:szCs w:val="21"/>
                <w:u w:val="single"/>
              </w:rPr>
              <w:t>A级</w:t>
            </w:r>
            <w:r>
              <w:rPr>
                <w:rFonts w:hint="eastAsia" w:cs="Times New Roman" w:asciiTheme="majorEastAsia" w:hAnsiTheme="majorEastAsia" w:eastAsiaTheme="majorEastAsia"/>
                <w:kern w:val="0"/>
                <w:sz w:val="21"/>
                <w:szCs w:val="21"/>
              </w:rPr>
              <w:t>评价证书的得0.5分，其他得0分。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2.报价方近一年获得银行颁发的资信（信用）</w:t>
            </w:r>
            <w:r>
              <w:rPr>
                <w:rFonts w:hint="eastAsia" w:cs="Times New Roman" w:asciiTheme="majorEastAsia" w:hAnsiTheme="majorEastAsia" w:eastAsiaTheme="majorEastAsia"/>
                <w:b/>
                <w:kern w:val="0"/>
                <w:sz w:val="21"/>
                <w:szCs w:val="21"/>
                <w:u w:val="single"/>
              </w:rPr>
              <w:t>等级</w:t>
            </w:r>
            <w:r>
              <w:rPr>
                <w:rFonts w:hint="eastAsia" w:cs="Times New Roman" w:asciiTheme="majorEastAsia" w:hAnsiTheme="majorEastAsia" w:eastAsiaTheme="majorEastAsia"/>
                <w:kern w:val="0"/>
                <w:sz w:val="21"/>
                <w:szCs w:val="21"/>
              </w:rPr>
              <w:t>证明，级别最高的得0.5分，其他得0分。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五</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财务</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状况</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六</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报价方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性质</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报价方是</w:t>
            </w:r>
            <w:r>
              <w:rPr>
                <w:rFonts w:hint="eastAsia" w:cs="Times New Roman" w:asciiTheme="majorEastAsia" w:hAnsiTheme="majorEastAsia" w:eastAsiaTheme="majorEastAsia"/>
                <w:b/>
                <w:kern w:val="0"/>
                <w:sz w:val="21"/>
                <w:szCs w:val="21"/>
                <w:u w:val="single"/>
              </w:rPr>
              <w:t>生产企业或进口产品全国（大区）总代理</w:t>
            </w:r>
            <w:r>
              <w:rPr>
                <w:rFonts w:hint="eastAsia" w:cs="Times New Roman" w:asciiTheme="majorEastAsia" w:hAnsiTheme="majorEastAsia" w:eastAsiaTheme="majorEastAsia"/>
                <w:kern w:val="0"/>
                <w:sz w:val="21"/>
                <w:szCs w:val="21"/>
              </w:rPr>
              <w:t>的得标准分值，不是的得0分。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adjustRightInd w:val="0"/>
              <w:snapToGrid w:val="0"/>
              <w:spacing w:line="440" w:lineRule="exact"/>
              <w:jc w:val="center"/>
              <w:rPr>
                <w:rFonts w:cs="Times New Roman" w:asciiTheme="majorEastAsia" w:hAnsiTheme="majorEastAsia" w:eastAsiaTheme="majorEastAsia"/>
                <w:b/>
                <w:bCs/>
                <w:kern w:val="0"/>
                <w:sz w:val="21"/>
                <w:szCs w:val="21"/>
              </w:rPr>
            </w:pPr>
            <w:r>
              <w:rPr>
                <w:rFonts w:hint="eastAsia" w:cs="Times New Roman" w:asciiTheme="majorEastAsia" w:hAnsiTheme="majorEastAsia" w:eastAsiaTheme="majorEastAsia"/>
                <w:b/>
                <w:bCs/>
                <w:kern w:val="0"/>
                <w:sz w:val="21"/>
                <w:szCs w:val="21"/>
              </w:rPr>
              <w:t>技术评审</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力量</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（7分）</w:t>
            </w: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1.提供所投产品技术专利证书（不包括外观专利）的1项得0.1分，最多得标准分值。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2.所投产品具有CE认证的得标准分，没有得0分。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3.所投产品具有FDA认证的得标准分，没有得0分。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0"/>
                <w:szCs w:val="21"/>
              </w:rPr>
            </w:pPr>
            <w:r>
              <w:rPr>
                <w:rFonts w:hint="eastAsia" w:cs="Times New Roman" w:asciiTheme="majorEastAsia" w:hAnsiTheme="majorEastAsia" w:eastAsiaTheme="majorEastAsia"/>
                <w:kern w:val="0"/>
                <w:sz w:val="21"/>
                <w:szCs w:val="21"/>
              </w:rPr>
              <w:t>6.所投产品入围最近年度“中国医学装备协会发布优秀国产医疗设备产品目录”得标准分值，其他得0分。（提供证明材料）</w:t>
            </w:r>
          </w:p>
        </w:tc>
        <w:tc>
          <w:tcPr>
            <w:tcW w:w="708" w:type="dxa"/>
            <w:vAlign w:val="center"/>
          </w:tcPr>
          <w:p>
            <w:pPr>
              <w:adjustRightInd w:val="0"/>
              <w:snapToGrid w:val="0"/>
              <w:spacing w:line="440" w:lineRule="exact"/>
              <w:jc w:val="center"/>
              <w:rPr>
                <w:rFonts w:eastAsia="宋体" w:cs="Times New Roman" w:asciiTheme="minorEastAsia" w:hAnsiTheme="minorEastAsia"/>
                <w:kern w:val="0"/>
                <w:sz w:val="20"/>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7.</w:t>
            </w:r>
            <w:r>
              <w:rPr>
                <w:rFonts w:cs="Times New Roman" w:asciiTheme="majorEastAsia" w:hAnsiTheme="majorEastAsia" w:eastAsiaTheme="majorEastAsia"/>
                <w:kern w:val="0"/>
                <w:sz w:val="21"/>
                <w:szCs w:val="21"/>
              </w:rPr>
              <w:t xml:space="preserve"> 所投产品技术优势特色：最优得标准分，依次递减</w:t>
            </w:r>
            <w:r>
              <w:rPr>
                <w:rFonts w:hint="eastAsia" w:cs="Times New Roman" w:asciiTheme="majorEastAsia" w:hAnsiTheme="majorEastAsia" w:eastAsiaTheme="majorEastAsia"/>
                <w:kern w:val="0"/>
                <w:sz w:val="21"/>
                <w:szCs w:val="21"/>
              </w:rPr>
              <w:t>2分，最低得0分。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9"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994" w:type="dxa"/>
            <w:gridSpan w:val="2"/>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产品技术性能指标参数满足偏离情况（45分）</w:t>
            </w:r>
          </w:p>
        </w:tc>
        <w:tc>
          <w:tcPr>
            <w:tcW w:w="6946" w:type="dxa"/>
            <w:tcBorders>
              <w:bottom w:val="single" w:color="auto" w:sz="4" w:space="0"/>
            </w:tcBorders>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符合谈判文件技术要求的有效起评分为20分：</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 关键重要技术指标参数（★）、重要指标参数（▲）正偏离，每条加2分，最多加10分；</w:t>
            </w:r>
          </w:p>
          <w:p>
            <w:pPr>
              <w:adjustRightInd w:val="0"/>
              <w:snapToGrid w:val="0"/>
              <w:spacing w:line="440" w:lineRule="exact"/>
              <w:rPr>
                <w:rFonts w:cs="Times New Roman" w:asciiTheme="majorEastAsia" w:hAnsiTheme="majorEastAsia" w:eastAsiaTheme="majorEastAsia"/>
                <w:kern w:val="0"/>
                <w:sz w:val="21"/>
                <w:szCs w:val="21"/>
                <w:lang w:val="zh-CN"/>
              </w:rPr>
            </w:pPr>
            <w:r>
              <w:rPr>
                <w:rFonts w:hint="eastAsia" w:cs="Times New Roman" w:asciiTheme="majorEastAsia" w:hAnsiTheme="majorEastAsia" w:eastAsiaTheme="majorEastAsia"/>
                <w:kern w:val="0"/>
                <w:sz w:val="21"/>
                <w:szCs w:val="21"/>
              </w:rPr>
              <w:t>2.</w:t>
            </w:r>
            <w:r>
              <w:rPr>
                <w:rFonts w:hint="eastAsia" w:cs="Times New Roman" w:asciiTheme="minorEastAsia" w:hAnsiTheme="minorEastAsia" w:eastAsiaTheme="minorEastAsia"/>
                <w:kern w:val="0"/>
                <w:sz w:val="24"/>
                <w:szCs w:val="24"/>
                <w:lang w:val="zh-CN"/>
              </w:rPr>
              <w:t xml:space="preserve"> </w:t>
            </w:r>
            <w:r>
              <w:rPr>
                <w:rFonts w:hint="eastAsia" w:cs="Times New Roman" w:asciiTheme="majorEastAsia" w:hAnsiTheme="majorEastAsia" w:eastAsiaTheme="majorEastAsia"/>
                <w:kern w:val="0"/>
                <w:sz w:val="21"/>
                <w:szCs w:val="21"/>
                <w:lang w:val="zh-CN"/>
              </w:rPr>
              <w:t>一般技术指标参数正偏离每条加1.5分，最多加15分；</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lang w:val="zh-CN"/>
              </w:rPr>
              <w:t>3.</w:t>
            </w:r>
            <w:r>
              <w:rPr>
                <w:rFonts w:hint="eastAsia" w:cs="Times New Roman" w:asciiTheme="majorEastAsia" w:hAnsiTheme="majorEastAsia" w:eastAsiaTheme="majorEastAsia"/>
                <w:kern w:val="0"/>
                <w:sz w:val="21"/>
                <w:szCs w:val="21"/>
              </w:rPr>
              <w:t xml:space="preserve"> 重要指标参数（▲）负偏离，每条扣3分，扣完为止；</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w:t>
            </w:r>
            <w:r>
              <w:rPr>
                <w:rFonts w:hint="eastAsia" w:cs="Times New Roman" w:asciiTheme="majorEastAsia" w:hAnsiTheme="majorEastAsia" w:eastAsiaTheme="majorEastAsia"/>
                <w:kern w:val="0"/>
                <w:sz w:val="21"/>
                <w:szCs w:val="21"/>
                <w:lang w:val="zh-CN"/>
              </w:rPr>
              <w:t xml:space="preserve"> 一般技术指标参数</w:t>
            </w:r>
            <w:r>
              <w:rPr>
                <w:rFonts w:hint="eastAsia" w:cs="Times New Roman" w:asciiTheme="majorEastAsia" w:hAnsiTheme="majorEastAsia" w:eastAsiaTheme="majorEastAsia"/>
                <w:kern w:val="0"/>
                <w:sz w:val="21"/>
                <w:szCs w:val="21"/>
              </w:rPr>
              <w:t>负偏离，每条扣2分，扣完为止</w:t>
            </w:r>
          </w:p>
        </w:tc>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shd w:val="clear" w:color="auto" w:fill="auto"/>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产品配置不齐全或性能用途与要求不符，“产品技术性能指标参数满足偏离情况”总得分为0分。</w:t>
            </w:r>
          </w:p>
        </w:tc>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994" w:type="dxa"/>
            <w:gridSpan w:val="2"/>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售后</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服务</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（8分）</w:t>
            </w: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免费保修期：在满足谈判文件要求的基础上，每增加6个月得0.5分，最多得标准分值，不符合谈判文件要求按无效报价处理。（未履行保修承诺的，相关企业将列入黑名单。）</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零配件支持：提供零配件全国统一报价，更换配件价格不超过统一报价的70%。在满足谈判文件要求的基础上，根据</w:t>
            </w:r>
            <w:r>
              <w:rPr>
                <w:rFonts w:hint="eastAsia" w:cs="Times New Roman" w:asciiTheme="minorEastAsia" w:hAnsiTheme="minorEastAsia" w:eastAsiaTheme="minorEastAsia"/>
                <w:b/>
                <w:kern w:val="0"/>
                <w:sz w:val="21"/>
                <w:szCs w:val="21"/>
                <w:u w:val="single"/>
              </w:rPr>
              <w:t>主要零配件价格</w:t>
            </w:r>
            <w:r>
              <w:rPr>
                <w:rFonts w:hint="eastAsia" w:cs="Times New Roman" w:asciiTheme="minorEastAsia" w:hAnsiTheme="minorEastAsia" w:eastAsiaTheme="minorEastAsia"/>
                <w:kern w:val="0"/>
                <w:sz w:val="21"/>
                <w:szCs w:val="21"/>
              </w:rPr>
              <w:t>排名，报价最低的得标准分值，其余排名依次按标准分值的25%减分，最低得0分。三分之二以上技术专家认为报价不合理的得0分。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按照报价方承诺的零配件保证供应时间长短排名，时间最长的得标准分值，依次递减0.2分，最低得0分。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到位维修响应：满足谈判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技术支持和服务网点：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2.根据服务网点数量排名，第一名得1分，依次按标准分值25%递减，最低得0分。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1.近三年企业售后服务未满足用户要求、未按承诺履行义务、被投诉的，每次得-1分。</w:t>
            </w:r>
          </w:p>
        </w:tc>
        <w:tc>
          <w:tcPr>
            <w:tcW w:w="708" w:type="dxa"/>
            <w:tcBorders>
              <w:top w:val="single" w:color="auto" w:sz="4" w:space="0"/>
            </w:tcBorders>
            <w:vAlign w:val="center"/>
          </w:tcPr>
          <w:p>
            <w:pPr>
              <w:adjustRightInd w:val="0"/>
              <w:snapToGrid w:val="0"/>
              <w:spacing w:line="440" w:lineRule="exact"/>
              <w:jc w:val="center"/>
              <w:rPr>
                <w:rFonts w:eastAsia="宋体" w:cs="Times New Roman" w:asciiTheme="minorEastAsia" w:hAnsiTheme="minorEastAsia"/>
                <w:kern w:val="0"/>
                <w:sz w:val="20"/>
                <w:szCs w:val="21"/>
              </w:rPr>
            </w:pPr>
          </w:p>
        </w:tc>
      </w:tr>
    </w:tbl>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（五）谈判程序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10.商务、技术评审。按照谈判文件中规定的评审方法和标准，对资格性审查和符合性审查合格的报价方进行技术评审和商务评审（不含价格因素）。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13.评审委员会依据经过复核的评审结果，对报价方进行排序并推荐预成交供应商。</w:t>
      </w:r>
    </w:p>
    <w:p>
      <w:pPr>
        <w:spacing w:line="440" w:lineRule="exact"/>
        <w:rPr>
          <w:rFonts w:ascii="宋体" w:hAnsi="宋体" w:eastAsia="宋体" w:cs="Times New Roman"/>
          <w:kern w:val="0"/>
          <w:sz w:val="24"/>
          <w:szCs w:val="24"/>
        </w:rPr>
      </w:pPr>
      <w:r>
        <w:rPr>
          <w:rFonts w:hint="eastAsia" w:cs="Times New Roman" w:asciiTheme="minorEastAsia" w:hAnsiTheme="minorEastAsia"/>
          <w:kern w:val="0"/>
          <w:sz w:val="24"/>
          <w:szCs w:val="24"/>
        </w:rPr>
        <w:t>本项目只确认一家成交供应商。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(1)谈判日期和地点；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(3)评审方法；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(4)谈判记录和评审情况及说明，包括无效报价供应商名称及原因；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(6)评审委员会成交建议。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部分供应商报价超采购预算的，应当继续进行评审。第一预成交供应商报价未超采购预算的，评审结果有效；第一预成交供应商超采购预算的，报采购管理部门处理。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3.报价方及其报价文件有下列情形之一的，在符合性审查时按照无效报价处理：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 报价有效期不符合谈判文件要求的；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 其他未满足对报价文件有效性、完整性和对谈判文件响应程度要求的情形。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4.报价方及其报价文件有下列情形之一的，在资格性审查时按照无效报价处理：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(1)不具备谈判文件中规定的资格性要求的；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(2)法人代表授权不符合要求的；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(3)属于禁止参加报价的供应商的；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(4)不符合法律、法规、规章规定的资格性要求的；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hint="eastAsia" w:cs="Times New Roman" w:asciiTheme="minorEastAsia" w:hAnsiTheme="minorEastAsia"/>
          <w:kern w:val="0"/>
          <w:sz w:val="24"/>
          <w:szCs w:val="24"/>
        </w:rPr>
        <w:t xml:space="preserve"> </w:t>
      </w:r>
      <w:r>
        <w:rPr>
          <w:rFonts w:hint="eastAsia" w:ascii="宋体" w:hAnsi="宋体" w:eastAsia="宋体" w:cs="Times New Roman"/>
          <w:kern w:val="0"/>
          <w:sz w:val="24"/>
          <w:szCs w:val="24"/>
        </w:rPr>
        <w:t>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5.在商务评审过程中，有下列情形之一的，其报价将被否决：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(2)报价方参与项目前期咨询或谈判文件编制的；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(3)不同报价方单位负责人为同一人或者存在控股、管理关系的；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(4)报价文件未按谈判文件的要求签署的；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(5)报价方的报价书、资格证明材料未提供，或不符合国家规定或者谈判文件要求的；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(7)报价文件不满足谈判文件加注星号（“★”）的重要商务条款要求的；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(8)报价高于谈判文件设定的最高报价限价的（若有）；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(9)报价方有串通报价、弄虚作假、行贿等违法行为的；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(10)存在谈判文件中规定的否决报价的其他商务条款的。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6.技术评审过程中，有下列情形之一的，其报价将被否决：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(5)存在谈判文件中规定的否决报价的其他技术条款的。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7.有下列情形之一的，属于报价方相互串通报价，评审委员会应当对串通报价方按照无效报价处理：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(1)报价方之间协商报价等报价文件的实质性内容的；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(2)报价方之间约定成交供应商的；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(3)报价方之间约定部分报价方放弃报价或者成交的；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(4)属于同一集团、协会、商会等组织成员的报价方按照该组织要求协同报价的；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(5)报价方之间为谋取成交或者排斥特定报价方而采取其他联合行动的。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8.有下列情形之一的，视为报价方相互串通报价，评审委员会应当对串通报价方按照无效报价处理：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(1)不同报价方的报价文件由同一单位或者个人编制的；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(2)不同报价方委托同一单位或者个人办理谈判事宜的；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(3)不同报价方的报价文件载明的项目管理成员为同一人的；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(4)不同报价方的报价文件异常一致或者报价呈规律性差异的；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(5)不同报价方的报价文件相互混装的；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(3)采购机构明示或者暗示报价方压低或者抬高报价的；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(4)采购机构授意报价方撤换、修改报价文件的；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10.有下列情形之一的，属于虚假报价，评审委员会应当对报价方按照无效报价处理：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(2)使用伪造、变造的许可证件的；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(3)提供虚假的财务状况或者业绩的；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(5)提供虚假信用状况的；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(6)提供虚假样品或借用、冒用其他供应商样品的；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(7)其他弄虚作假行为的。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11.有下列情形之一的，应当终止谈判：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(1)参加谈判的供应商均被淘汰的；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(3)其他无法继续开展谈判或者无法成交的情形；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(4)因重大变故，取消采购任务的。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（七）经评审委员会评审，认为所有报价都不符合谈判文件要求的，评审委员会可否决所有报价，采购机构有权重新组织采购。</w:t>
      </w:r>
    </w:p>
    <w:p>
      <w:pPr>
        <w:tabs>
          <w:tab w:val="left" w:pos="1608"/>
        </w:tabs>
        <w:spacing w:line="440" w:lineRule="exact"/>
        <w:ind w:firstLine="462" w:firstLineChars="200"/>
        <w:rPr>
          <w:rFonts w:ascii="宋体" w:hAnsi="宋体" w:eastAsia="宋体" w:cs="Times New Roman"/>
          <w:kern w:val="0"/>
          <w:sz w:val="24"/>
          <w:szCs w:val="24"/>
        </w:rPr>
      </w:pPr>
      <w:r>
        <w:rPr>
          <w:rFonts w:ascii="宋体" w:hAnsi="宋体" w:eastAsia="宋体" w:cs="Times New Roman"/>
          <w:kern w:val="0"/>
          <w:sz w:val="24"/>
          <w:szCs w:val="24"/>
        </w:rPr>
        <w:tab/>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质疑与投诉</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hint="eastAsia" w:cs="Times New Roman" w:asciiTheme="minorEastAsia" w:hAnsiTheme="minorEastAsia"/>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质疑</w:t>
      </w:r>
      <w:r>
        <w:rPr>
          <w:rFonts w:hint="eastAsia" w:ascii="宋体" w:hAnsi="宋体" w:eastAsia="宋体" w:cs="Times New Roman"/>
          <w:kern w:val="0"/>
          <w:sz w:val="24"/>
          <w:szCs w:val="24"/>
        </w:rPr>
        <w:t>处理机构</w:t>
      </w:r>
      <w:r>
        <w:rPr>
          <w:rFonts w:ascii="宋体" w:hAnsi="宋体" w:eastAsia="宋体" w:cs="Times New Roman"/>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（五）供应商</w:t>
      </w:r>
      <w:r>
        <w:rPr>
          <w:rFonts w:ascii="宋体" w:hAnsi="宋体" w:eastAsia="宋体" w:cs="Times New Roman"/>
          <w:kern w:val="0"/>
          <w:sz w:val="24"/>
          <w:szCs w:val="24"/>
        </w:rPr>
        <w:t>认为下列事项使自己权益受到损害的，</w:t>
      </w:r>
      <w:r>
        <w:rPr>
          <w:rFonts w:hint="eastAsia" w:ascii="宋体" w:hAnsi="宋体" w:eastAsia="宋体" w:cs="Times New Roman"/>
          <w:kern w:val="0"/>
          <w:sz w:val="24"/>
          <w:szCs w:val="24"/>
        </w:rPr>
        <w:t>可以</w:t>
      </w:r>
      <w:r>
        <w:rPr>
          <w:rFonts w:ascii="宋体" w:hAnsi="宋体" w:eastAsia="宋体" w:cs="Times New Roman"/>
          <w:kern w:val="0"/>
          <w:sz w:val="24"/>
          <w:szCs w:val="24"/>
        </w:rPr>
        <w:t>在评审结果公示期内，向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提出书面质疑</w:t>
      </w:r>
      <w:r>
        <w:rPr>
          <w:rFonts w:hint="eastAsia" w:ascii="宋体" w:hAnsi="宋体" w:eastAsia="宋体" w:cs="Times New Roman"/>
          <w:kern w:val="0"/>
          <w:sz w:val="24"/>
          <w:szCs w:val="24"/>
        </w:rPr>
        <w:t>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w:t>
      </w:r>
      <w:r>
        <w:rPr>
          <w:rFonts w:ascii="宋体" w:hAnsi="宋体" w:eastAsia="宋体" w:cs="Times New Roman"/>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采购程序违反军队采购相关规定的；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3.供应商</w:t>
      </w:r>
      <w:r>
        <w:rPr>
          <w:rFonts w:ascii="宋体" w:hAnsi="宋体" w:eastAsia="宋体" w:cs="Times New Roman"/>
          <w:kern w:val="0"/>
          <w:sz w:val="24"/>
          <w:szCs w:val="24"/>
        </w:rPr>
        <w:t>之间</w:t>
      </w:r>
      <w:r>
        <w:rPr>
          <w:rFonts w:hint="eastAsia" w:ascii="宋体" w:hAnsi="宋体" w:eastAsia="宋体" w:cs="Times New Roman"/>
          <w:kern w:val="0"/>
          <w:sz w:val="24"/>
          <w:szCs w:val="24"/>
        </w:rPr>
        <w:t>或者采购机构与供应商之间</w:t>
      </w:r>
      <w:r>
        <w:rPr>
          <w:rFonts w:ascii="宋体" w:hAnsi="宋体" w:eastAsia="宋体" w:cs="Times New Roman"/>
          <w:kern w:val="0"/>
          <w:sz w:val="24"/>
          <w:szCs w:val="24"/>
        </w:rPr>
        <w:t>存在串通行为的；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提供虚假资料</w:t>
      </w:r>
      <w:r>
        <w:rPr>
          <w:rFonts w:hint="eastAsia" w:ascii="宋体" w:hAnsi="宋体" w:eastAsia="宋体" w:cs="Times New Roman"/>
          <w:kern w:val="0"/>
          <w:sz w:val="24"/>
          <w:szCs w:val="24"/>
        </w:rPr>
        <w:t>骗取成交</w:t>
      </w:r>
      <w:r>
        <w:rPr>
          <w:rFonts w:ascii="宋体" w:hAnsi="宋体" w:eastAsia="宋体" w:cs="Times New Roman"/>
          <w:kern w:val="0"/>
          <w:sz w:val="24"/>
          <w:szCs w:val="24"/>
        </w:rPr>
        <w:t>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违反采购相关法律法规使自己权益受到损害的其他事项。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书面质疑</w:t>
      </w:r>
      <w:r>
        <w:rPr>
          <w:rFonts w:hint="eastAsia" w:ascii="宋体" w:hAnsi="宋体" w:eastAsia="宋体" w:cs="Times New Roman"/>
          <w:kern w:val="0"/>
          <w:sz w:val="24"/>
          <w:szCs w:val="24"/>
        </w:rPr>
        <w:t>应</w:t>
      </w:r>
      <w:r>
        <w:rPr>
          <w:rFonts w:ascii="宋体" w:hAnsi="宋体" w:eastAsia="宋体" w:cs="Times New Roman"/>
          <w:kern w:val="0"/>
          <w:sz w:val="24"/>
          <w:szCs w:val="24"/>
        </w:rPr>
        <w:t>由法定代表人签字</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加盖单位公章，同时出具法定代表人资格证明书</w:t>
      </w:r>
      <w:r>
        <w:rPr>
          <w:rFonts w:hint="eastAsia" w:ascii="宋体" w:hAnsi="宋体" w:eastAsia="宋体" w:cs="Times New Roman"/>
          <w:kern w:val="0"/>
          <w:sz w:val="24"/>
          <w:szCs w:val="24"/>
        </w:rPr>
        <w:t>。</w:t>
      </w:r>
      <w:r>
        <w:rPr>
          <w:rFonts w:ascii="宋体" w:hAnsi="宋体" w:eastAsia="宋体" w:cs="Times New Roman"/>
          <w:kern w:val="0"/>
          <w:sz w:val="24"/>
          <w:szCs w:val="24"/>
        </w:rPr>
        <w:t>由</w:t>
      </w:r>
      <w:r>
        <w:rPr>
          <w:rFonts w:hint="eastAsia" w:ascii="宋体" w:hAnsi="宋体" w:eastAsia="宋体" w:cs="Times New Roman"/>
          <w:kern w:val="0"/>
          <w:sz w:val="24"/>
          <w:szCs w:val="24"/>
        </w:rPr>
        <w:t>全权代表</w:t>
      </w:r>
      <w:r>
        <w:rPr>
          <w:rFonts w:ascii="宋体" w:hAnsi="宋体" w:eastAsia="宋体" w:cs="Times New Roman"/>
          <w:kern w:val="0"/>
          <w:sz w:val="24"/>
          <w:szCs w:val="24"/>
        </w:rPr>
        <w:t>签字的，必须有法定代表人授权</w:t>
      </w:r>
      <w:r>
        <w:rPr>
          <w:rFonts w:hint="eastAsia" w:ascii="宋体" w:hAnsi="宋体" w:eastAsia="宋体" w:cs="Times New Roman"/>
          <w:kern w:val="0"/>
          <w:sz w:val="24"/>
          <w:szCs w:val="24"/>
        </w:rPr>
        <w:t>书和</w:t>
      </w:r>
      <w:r>
        <w:rPr>
          <w:rFonts w:ascii="宋体" w:hAnsi="宋体" w:eastAsia="宋体" w:cs="Times New Roman"/>
          <w:kern w:val="0"/>
          <w:sz w:val="24"/>
          <w:szCs w:val="24"/>
        </w:rPr>
        <w:t>法定代表人资格证明书</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w:t>
      </w:r>
      <w:r>
        <w:rPr>
          <w:rFonts w:hint="eastAsia" w:ascii="宋体" w:hAnsi="宋体" w:eastAsia="宋体" w:cs="Times New Roman"/>
          <w:kern w:val="0"/>
          <w:sz w:val="24"/>
          <w:szCs w:val="24"/>
        </w:rPr>
        <w:t>。书面</w:t>
      </w:r>
      <w:r>
        <w:rPr>
          <w:rFonts w:ascii="宋体" w:hAnsi="宋体" w:eastAsia="宋体" w:cs="Times New Roman"/>
          <w:kern w:val="0"/>
          <w:sz w:val="24"/>
          <w:szCs w:val="24"/>
        </w:rPr>
        <w:t>质疑主要包括下列内容：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1.质疑的采购项目名称和项目编号；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w:t>
      </w:r>
      <w:r>
        <w:rPr>
          <w:rFonts w:hint="eastAsia" w:ascii="宋体" w:hAnsi="宋体" w:eastAsia="宋体" w:cs="Times New Roman"/>
          <w:kern w:val="0"/>
          <w:sz w:val="24"/>
          <w:szCs w:val="24"/>
        </w:rPr>
        <w:t>人</w:t>
      </w:r>
      <w:r>
        <w:rPr>
          <w:rFonts w:ascii="宋体" w:hAnsi="宋体" w:eastAsia="宋体" w:cs="Times New Roman"/>
          <w:kern w:val="0"/>
          <w:sz w:val="24"/>
          <w:szCs w:val="24"/>
        </w:rPr>
        <w:t>和被质疑人的名称，质疑人的地址、联系方式等；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具体的质疑事项、事实依据及相关证明材料；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提起质疑的日期。</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ascii="宋体" w:hAnsi="宋体" w:eastAsia="宋体" w:cs="Times New Roman"/>
          <w:kern w:val="0"/>
          <w:sz w:val="24"/>
          <w:szCs w:val="24"/>
        </w:rPr>
        <w:t>质疑有以下情形之一的，</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不予受理：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1.未按规定程序和渠道提出质疑的；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超</w:t>
      </w:r>
      <w:r>
        <w:rPr>
          <w:rFonts w:hint="eastAsia" w:ascii="宋体" w:hAnsi="宋体" w:eastAsia="宋体" w:cs="Times New Roman"/>
          <w:kern w:val="0"/>
          <w:sz w:val="24"/>
          <w:szCs w:val="24"/>
        </w:rPr>
        <w:t>过</w:t>
      </w:r>
      <w:r>
        <w:rPr>
          <w:rFonts w:ascii="宋体" w:hAnsi="宋体" w:eastAsia="宋体" w:cs="Times New Roman"/>
          <w:kern w:val="0"/>
          <w:sz w:val="24"/>
          <w:szCs w:val="24"/>
        </w:rPr>
        <w:t>质疑限期</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3.书面</w:t>
      </w:r>
      <w:r>
        <w:rPr>
          <w:rFonts w:ascii="宋体" w:hAnsi="宋体" w:eastAsia="宋体" w:cs="Times New Roman"/>
          <w:kern w:val="0"/>
          <w:sz w:val="24"/>
          <w:szCs w:val="24"/>
        </w:rPr>
        <w:t>质疑的形式和内容不符合</w:t>
      </w:r>
      <w:r>
        <w:rPr>
          <w:rFonts w:hint="eastAsia" w:ascii="宋体" w:hAnsi="宋体" w:eastAsia="宋体" w:cs="Times New Roman"/>
          <w:kern w:val="0"/>
          <w:sz w:val="24"/>
          <w:szCs w:val="24"/>
        </w:rPr>
        <w:t>上述要求的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提出的质疑事项已经明确答复的；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法律法规规定的其他不予受理的条件。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（八）质疑处理机构</w:t>
      </w:r>
      <w:r>
        <w:rPr>
          <w:rFonts w:ascii="宋体" w:hAnsi="宋体" w:eastAsia="宋体" w:cs="Times New Roman"/>
          <w:kern w:val="0"/>
          <w:sz w:val="24"/>
          <w:szCs w:val="24"/>
        </w:rPr>
        <w:t>应当自质疑签收之日起</w:t>
      </w:r>
      <w:r>
        <w:rPr>
          <w:rFonts w:hint="eastAsia" w:ascii="宋体" w:hAnsi="宋体" w:eastAsia="宋体" w:cs="Times New Roman"/>
          <w:kern w:val="0"/>
          <w:sz w:val="24"/>
          <w:szCs w:val="24"/>
        </w:rPr>
        <w:t>7</w:t>
      </w:r>
      <w:r>
        <w:rPr>
          <w:rFonts w:ascii="宋体" w:hAnsi="宋体" w:eastAsia="宋体" w:cs="Times New Roman"/>
          <w:kern w:val="0"/>
          <w:sz w:val="24"/>
          <w:szCs w:val="24"/>
        </w:rPr>
        <w:t>个工作日内做出书面答复。答复内容同时通知与处理结果有关的供应商，但答复内容不得涉及供应商的商业秘密。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在作出书面答复之前，可以采取现场解答的方式向</w:t>
      </w:r>
      <w:r>
        <w:rPr>
          <w:rFonts w:hint="eastAsia" w:ascii="宋体" w:hAnsi="宋体" w:eastAsia="宋体" w:cs="Times New Roman"/>
          <w:kern w:val="0"/>
          <w:sz w:val="24"/>
          <w:szCs w:val="24"/>
        </w:rPr>
        <w:t>质疑人</w:t>
      </w:r>
      <w:r>
        <w:rPr>
          <w:rFonts w:ascii="宋体" w:hAnsi="宋体" w:eastAsia="宋体" w:cs="Times New Roman"/>
          <w:kern w:val="0"/>
          <w:sz w:val="24"/>
          <w:szCs w:val="24"/>
        </w:rPr>
        <w:t>通报初步处理结果。供应商认可处理结果的，可在出具书面申请后撤回质疑或者放弃质疑，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不再进行书面答复。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（九）供应商</w:t>
      </w:r>
      <w:r>
        <w:rPr>
          <w:rFonts w:ascii="宋体" w:hAnsi="宋体" w:eastAsia="宋体" w:cs="Times New Roman"/>
          <w:kern w:val="0"/>
          <w:sz w:val="24"/>
          <w:szCs w:val="24"/>
        </w:rPr>
        <w:t>质疑有下列情形之一的，视为无效质疑，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应当驳回质疑：</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无具体的质疑事项，或者质疑事项缺乏事实和法律依据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质疑内容涉及评审工作细节、其他供应商</w:t>
      </w:r>
      <w:r>
        <w:rPr>
          <w:rFonts w:hint="eastAsia" w:ascii="宋体" w:hAnsi="宋体" w:eastAsia="宋体" w:cs="Times New Roman"/>
          <w:kern w:val="0"/>
          <w:sz w:val="24"/>
          <w:szCs w:val="24"/>
        </w:rPr>
        <w:t>报价</w:t>
      </w:r>
      <w:r>
        <w:rPr>
          <w:rFonts w:ascii="宋体" w:hAnsi="宋体" w:eastAsia="宋体" w:cs="Times New Roman"/>
          <w:kern w:val="0"/>
          <w:sz w:val="24"/>
          <w:szCs w:val="24"/>
        </w:rPr>
        <w:t>资料等保密事项且无法提供信息的合法来源</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质疑已经处理并明确答复后，质疑人就同一事项再次提起质疑且未提供新的有效证据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应当对供应商无效质疑情况记录存档</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（十）供应商</w:t>
      </w:r>
      <w:r>
        <w:rPr>
          <w:rFonts w:ascii="宋体" w:hAnsi="宋体" w:eastAsia="宋体" w:cs="Times New Roman"/>
          <w:kern w:val="0"/>
          <w:sz w:val="24"/>
          <w:szCs w:val="24"/>
        </w:rPr>
        <w:t>进行虚假和恶意质疑，干扰</w:t>
      </w:r>
      <w:r>
        <w:rPr>
          <w:rFonts w:hint="eastAsia" w:ascii="宋体" w:hAnsi="宋体" w:eastAsia="宋体" w:cs="Times New Roman"/>
          <w:kern w:val="0"/>
          <w:sz w:val="24"/>
          <w:szCs w:val="24"/>
        </w:rPr>
        <w:t>军队</w:t>
      </w:r>
      <w:r>
        <w:rPr>
          <w:rFonts w:ascii="宋体" w:hAnsi="宋体" w:eastAsia="宋体" w:cs="Times New Roman"/>
          <w:kern w:val="0"/>
          <w:sz w:val="24"/>
          <w:szCs w:val="24"/>
        </w:rPr>
        <w:t>采购活动的，</w:t>
      </w:r>
      <w:r>
        <w:rPr>
          <w:rFonts w:hint="eastAsia" w:ascii="宋体" w:hAnsi="宋体" w:eastAsia="宋体" w:cs="Times New Roman"/>
          <w:kern w:val="0"/>
          <w:sz w:val="24"/>
          <w:szCs w:val="24"/>
        </w:rPr>
        <w:t>质疑处理机构可以申请上级采购管理部门作出处罚。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r>
        <w:rPr>
          <w:rFonts w:ascii="宋体" w:hAnsi="宋体" w:eastAsia="宋体" w:cs="Times New Roman"/>
          <w:kern w:val="0"/>
          <w:sz w:val="24"/>
          <w:szCs w:val="24"/>
        </w:rPr>
        <w:t>。</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七、确定成交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（一）确定成交供应商</w:t>
      </w:r>
    </w:p>
    <w:p>
      <w:pPr>
        <w:spacing w:line="440" w:lineRule="exact"/>
        <w:ind w:firstLine="462" w:firstLineChars="200"/>
        <w:rPr>
          <w:rFonts w:ascii="宋体" w:hAnsi="宋体" w:eastAsia="宋体" w:cs="宋体"/>
          <w:snapToGrid w:val="0"/>
          <w:kern w:val="0"/>
          <w:sz w:val="24"/>
          <w:szCs w:val="24"/>
        </w:rPr>
      </w:pPr>
      <w:r>
        <w:rPr>
          <w:rFonts w:hint="eastAsia" w:ascii="宋体" w:hAnsi="宋体" w:eastAsia="宋体" w:cs="宋体"/>
          <w:snapToGrid w:val="0"/>
          <w:kern w:val="0"/>
          <w:sz w:val="24"/>
          <w:szCs w:val="24"/>
        </w:rPr>
        <w:t>1.评审结束后3个工作日内，采购机构根据评审委员会提出的书面评审报告，在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w:t>
      </w:r>
      <w:r>
        <w:rPr>
          <w:rFonts w:hint="eastAsia" w:ascii="宋体" w:hAnsi="宋体" w:eastAsia="宋体" w:cs="宋体"/>
          <w:snapToGrid w:val="0"/>
          <w:kern w:val="0"/>
          <w:sz w:val="24"/>
          <w:szCs w:val="24"/>
        </w:rPr>
        <w:t>，公示期为3个工作日。在公示期内无异议的，</w:t>
      </w:r>
      <w:r>
        <w:rPr>
          <w:rFonts w:hint="eastAsia" w:cs="Times New Roman" w:asciiTheme="minorEastAsia" w:hAnsiTheme="minorEastAsia"/>
          <w:kern w:val="0"/>
          <w:sz w:val="24"/>
          <w:szCs w:val="24"/>
        </w:rPr>
        <w:t>且通过医院价格审核，</w:t>
      </w:r>
      <w:r>
        <w:rPr>
          <w:rFonts w:hint="eastAsia" w:ascii="宋体" w:hAnsi="宋体" w:eastAsia="宋体" w:cs="宋体"/>
          <w:snapToGrid w:val="0"/>
          <w:kern w:val="0"/>
          <w:sz w:val="24"/>
          <w:szCs w:val="24"/>
        </w:rPr>
        <w:t>确定排名第一的供应商为采购项目成交供应商。公示期内有异议的，按照本须知“质疑与投诉”规定的程序处理。</w:t>
      </w:r>
    </w:p>
    <w:p>
      <w:pPr>
        <w:spacing w:line="440" w:lineRule="exact"/>
        <w:ind w:firstLine="462"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（二）</w:t>
      </w:r>
      <w:r>
        <w:rPr>
          <w:rFonts w:hint="eastAsia" w:ascii="宋体" w:hAnsi="宋体" w:eastAsia="宋体" w:cs="Times New Roman"/>
          <w:snapToGrid w:val="0"/>
          <w:kern w:val="0"/>
          <w:sz w:val="24"/>
          <w:szCs w:val="24"/>
        </w:rPr>
        <w:t>成交通知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《成交通知书》是签订合同草案的依据。若合同草案未获批准，采购机构有权取消合同草案。</w:t>
      </w:r>
      <w:r>
        <w:rPr>
          <w:rFonts w:hint="eastAsia" w:ascii="宋体" w:hAnsi="宋体" w:eastAsia="宋体" w:cs="宋体"/>
          <w:snapToGrid w:val="0"/>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八、签订</w:t>
      </w:r>
      <w:r>
        <w:rPr>
          <w:rFonts w:ascii="宋体" w:hAnsi="宋体" w:eastAsia="宋体" w:cs="Times New Roman"/>
          <w:kern w:val="0"/>
          <w:sz w:val="24"/>
          <w:szCs w:val="24"/>
        </w:rPr>
        <w:t>合同</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w:t>
      </w:r>
      <w:r>
        <w:rPr>
          <w:rFonts w:hint="eastAsia" w:cs="Times New Roman" w:asciiTheme="minorEastAsia" w:hAnsiTheme="minor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kern w:val="0"/>
          <w:sz w:val="24"/>
          <w:szCs w:val="24"/>
          <w:lang w:val="zh-CN"/>
        </w:rPr>
        <w:t>。</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九、</w:t>
      </w:r>
      <w:r>
        <w:rPr>
          <w:rFonts w:ascii="宋体" w:hAnsi="宋体" w:eastAsia="宋体" w:cs="Times New Roman"/>
          <w:kern w:val="0"/>
          <w:sz w:val="24"/>
          <w:szCs w:val="24"/>
        </w:rPr>
        <w:t>产品</w:t>
      </w:r>
      <w:r>
        <w:rPr>
          <w:rFonts w:hint="eastAsia" w:ascii="宋体" w:hAnsi="宋体" w:eastAsia="宋体" w:cs="Times New Roman"/>
          <w:kern w:val="0"/>
          <w:sz w:val="24"/>
          <w:szCs w:val="24"/>
        </w:rPr>
        <w:t>质量</w:t>
      </w:r>
      <w:r>
        <w:rPr>
          <w:rFonts w:ascii="宋体" w:hAnsi="宋体" w:eastAsia="宋体" w:cs="Times New Roman"/>
          <w:kern w:val="0"/>
          <w:sz w:val="24"/>
          <w:szCs w:val="24"/>
        </w:rPr>
        <w:t>检验验收</w:t>
      </w:r>
    </w:p>
    <w:p>
      <w:pPr>
        <w:spacing w:line="440" w:lineRule="exact"/>
        <w:ind w:firstLine="462" w:firstLineChars="200"/>
        <w:rPr>
          <w:rFonts w:ascii="宋体" w:hAnsi="宋体" w:eastAsia="宋体" w:cs="宋体"/>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产品质量验收由合同甲方或者其指定（委托）的质检机构组织实施，成交供应商应予以积极配合。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75" w:firstLineChars="249"/>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谈判文件、报价文件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成交供应商应将所提供货物的装箱清单、配件、随机工具、用户使用手册、维修手册、原厂保修卡等资料交付给合同甲方。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ascii="宋体" w:hAnsi="宋体" w:eastAsia="宋体" w:cs="Times New Roman"/>
          <w:kern w:val="0"/>
          <w:sz w:val="24"/>
          <w:szCs w:val="24"/>
        </w:rPr>
        <w:t>解释权限</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仿宋_GB2312" w:hAnsi="宋体" w:eastAsia="仿宋_GB2312" w:cs="Times New Roman"/>
          <w:kern w:val="0"/>
          <w:sz w:val="32"/>
          <w:szCs w:val="32"/>
        </w:rPr>
        <w:sectPr>
          <w:headerReference r:id="rId5" w:type="default"/>
          <w:footerReference r:id="rId6" w:type="default"/>
          <w:pgSz w:w="11906" w:h="16838"/>
          <w:pgMar w:top="2098" w:right="1474" w:bottom="1985" w:left="1588" w:header="851" w:footer="964" w:gutter="0"/>
          <w:cols w:space="425" w:num="1"/>
          <w:docGrid w:type="linesAndChars" w:linePitch="579" w:charSpace="-1844"/>
        </w:sectPr>
      </w:pPr>
      <w:r>
        <w:rPr>
          <w:rFonts w:hint="eastAsia" w:ascii="宋体" w:hAnsi="宋体" w:eastAsia="宋体" w:cs="Times New Roman"/>
          <w:kern w:val="0"/>
          <w:sz w:val="24"/>
          <w:szCs w:val="24"/>
        </w:rPr>
        <w:t>本谈判文件由采购机构负责解释。</w:t>
      </w:r>
    </w:p>
    <w:p>
      <w:pPr>
        <w:jc w:val="center"/>
        <w:outlineLvl w:val="0"/>
        <w:rPr>
          <w:rFonts w:ascii="黑体" w:hAnsi="黑体" w:eastAsia="黑体" w:cs="Times New Roman"/>
          <w:bCs/>
          <w:kern w:val="0"/>
          <w:sz w:val="32"/>
          <w:szCs w:val="32"/>
        </w:rPr>
      </w:pPr>
      <w:bookmarkStart w:id="14" w:name="_Toc37780286"/>
      <w:bookmarkStart w:id="15" w:name="_Toc285612603"/>
      <w:bookmarkStart w:id="16" w:name="_Toc37172690"/>
      <w:bookmarkStart w:id="17" w:name="_Toc435540981"/>
      <w:bookmarkStart w:id="18" w:name="_Toc390713969"/>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bookmarkEnd w:id="18"/>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签订地点：重庆市</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9"/>
        <w:gridCol w:w="148"/>
        <w:gridCol w:w="1272"/>
        <w:gridCol w:w="1558"/>
        <w:gridCol w:w="3182"/>
        <w:gridCol w:w="364"/>
        <w:gridCol w:w="707"/>
        <w:gridCol w:w="417"/>
        <w:gridCol w:w="574"/>
        <w:gridCol w:w="1561"/>
        <w:gridCol w:w="1558"/>
        <w:gridCol w:w="1700"/>
        <w:gridCol w:w="5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7"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55"/>
                <w:kern w:val="0"/>
                <w:szCs w:val="21"/>
                <w:fitText w:val="1170" w:id="1809385736"/>
              </w:rPr>
              <w:t>单位名</w:t>
            </w:r>
            <w:r>
              <w:rPr>
                <w:rFonts w:hint="eastAsia" w:ascii="宋体" w:hAnsi="宋体" w:eastAsia="宋体" w:cs="Times New Roman"/>
                <w:bCs/>
                <w:spacing w:val="0"/>
                <w:kern w:val="0"/>
                <w:szCs w:val="21"/>
                <w:fitText w:val="1170" w:id="1809385736"/>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
              </w:rPr>
              <w:t>单位名</w:t>
            </w:r>
            <w:r>
              <w:rPr>
                <w:rFonts w:hint="eastAsia" w:ascii="宋体" w:hAnsi="宋体" w:eastAsia="宋体" w:cs="Times New Roman"/>
                <w:bCs/>
                <w:spacing w:val="0"/>
                <w:kern w:val="0"/>
                <w:szCs w:val="21"/>
                <w:fitText w:val="1170" w:id="1"/>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2"/>
              </w:rPr>
              <w:t>法定代表</w:t>
            </w:r>
            <w:r>
              <w:rPr>
                <w:rFonts w:hint="eastAsia" w:ascii="宋体" w:hAnsi="宋体" w:eastAsia="宋体" w:cs="Times New Roman"/>
                <w:bCs/>
                <w:spacing w:val="0"/>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3"/>
              </w:rPr>
              <w:t>法定代表</w:t>
            </w:r>
            <w:r>
              <w:rPr>
                <w:rFonts w:hint="eastAsia" w:ascii="宋体" w:hAnsi="宋体" w:eastAsia="宋体" w:cs="Times New Roman"/>
                <w:bCs/>
                <w:spacing w:val="0"/>
                <w:kern w:val="0"/>
                <w:szCs w:val="21"/>
                <w:fitText w:val="1170" w:id="3"/>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4"/>
              </w:rPr>
              <w:t>委托代理</w:t>
            </w:r>
            <w:r>
              <w:rPr>
                <w:rFonts w:hint="eastAsia" w:ascii="宋体" w:hAnsi="宋体" w:eastAsia="宋体" w:cs="Times New Roman"/>
                <w:bCs/>
                <w:spacing w:val="0"/>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5"/>
              </w:rPr>
              <w:t>委托代理</w:t>
            </w:r>
            <w:r>
              <w:rPr>
                <w:rFonts w:hint="eastAsia" w:ascii="宋体" w:hAnsi="宋体" w:eastAsia="宋体" w:cs="Times New Roman"/>
                <w:bCs/>
                <w:spacing w:val="0"/>
                <w:kern w:val="0"/>
                <w:szCs w:val="21"/>
                <w:fitText w:val="1170" w:id="5"/>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6"/>
              </w:rPr>
              <w:t>联系</w:t>
            </w:r>
            <w:r>
              <w:rPr>
                <w:rFonts w:hint="eastAsia" w:ascii="宋体" w:hAnsi="宋体" w:eastAsia="宋体" w:cs="Times New Roman"/>
                <w:bCs/>
                <w:spacing w:val="0"/>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7"/>
              </w:rPr>
              <w:t>联系</w:t>
            </w:r>
            <w:r>
              <w:rPr>
                <w:rFonts w:hint="eastAsia" w:ascii="宋体" w:hAnsi="宋体" w:eastAsia="宋体" w:cs="Times New Roman"/>
                <w:bCs/>
                <w:spacing w:val="0"/>
                <w:kern w:val="0"/>
                <w:szCs w:val="21"/>
                <w:fitText w:val="1170" w:id="7"/>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8"/>
              </w:rPr>
              <w:t>联系电</w:t>
            </w:r>
            <w:r>
              <w:rPr>
                <w:rFonts w:hint="eastAsia" w:ascii="宋体" w:hAnsi="宋体" w:eastAsia="宋体" w:cs="Times New Roman"/>
                <w:bCs/>
                <w:spacing w:val="0"/>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9"/>
              </w:rPr>
              <w:t>联系电</w:t>
            </w:r>
            <w:r>
              <w:rPr>
                <w:rFonts w:hint="eastAsia" w:ascii="宋体" w:hAnsi="宋体" w:eastAsia="宋体" w:cs="Times New Roman"/>
                <w:bCs/>
                <w:spacing w:val="0"/>
                <w:kern w:val="0"/>
                <w:szCs w:val="21"/>
                <w:fitText w:val="1170" w:id="9"/>
              </w:rPr>
              <w:t>话</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0"/>
              </w:rPr>
              <w:t>通讯地</w:t>
            </w:r>
            <w:r>
              <w:rPr>
                <w:rFonts w:hint="eastAsia" w:ascii="宋体" w:hAnsi="宋体" w:eastAsia="宋体" w:cs="Times New Roman"/>
                <w:bCs/>
                <w:spacing w:val="0"/>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1"/>
              </w:rPr>
              <w:t>通讯地</w:t>
            </w:r>
            <w:r>
              <w:rPr>
                <w:rFonts w:hint="eastAsia" w:ascii="宋体" w:hAnsi="宋体" w:eastAsia="宋体" w:cs="Times New Roman"/>
                <w:bCs/>
                <w:spacing w:val="0"/>
                <w:kern w:val="0"/>
                <w:szCs w:val="21"/>
                <w:fitText w:val="1170" w:id="11"/>
              </w:rPr>
              <w:t>址</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2"/>
              </w:rPr>
              <w:t>邮政编</w:t>
            </w:r>
            <w:r>
              <w:rPr>
                <w:rFonts w:hint="eastAsia" w:ascii="宋体" w:hAnsi="宋体" w:eastAsia="宋体" w:cs="Times New Roman"/>
                <w:bCs/>
                <w:spacing w:val="0"/>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3"/>
              </w:rPr>
              <w:t>邮政编</w:t>
            </w:r>
            <w:r>
              <w:rPr>
                <w:rFonts w:hint="eastAsia" w:ascii="宋体" w:hAnsi="宋体" w:eastAsia="宋体" w:cs="Times New Roman"/>
                <w:bCs/>
                <w:spacing w:val="0"/>
                <w:kern w:val="0"/>
                <w:szCs w:val="21"/>
                <w:fitText w:val="1170" w:id="13"/>
              </w:rPr>
              <w:t>码</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4"/>
              </w:rPr>
              <w:t>付款单</w:t>
            </w:r>
            <w:r>
              <w:rPr>
                <w:rFonts w:hint="eastAsia" w:ascii="宋体" w:hAnsi="宋体" w:eastAsia="宋体" w:cs="Times New Roman"/>
                <w:bCs/>
                <w:spacing w:val="0"/>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5"/>
              </w:rPr>
              <w:t>开户名</w:t>
            </w:r>
            <w:r>
              <w:rPr>
                <w:rFonts w:hint="eastAsia" w:ascii="宋体" w:hAnsi="宋体" w:eastAsia="宋体" w:cs="Times New Roman"/>
                <w:bCs/>
                <w:spacing w:val="0"/>
                <w:kern w:val="0"/>
                <w:szCs w:val="21"/>
                <w:fitText w:val="1170" w:id="15"/>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6"/>
              </w:rPr>
              <w:t>开户银</w:t>
            </w:r>
            <w:r>
              <w:rPr>
                <w:rFonts w:hint="eastAsia" w:ascii="宋体" w:hAnsi="宋体" w:eastAsia="宋体" w:cs="Times New Roman"/>
                <w:bCs/>
                <w:spacing w:val="0"/>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7"/>
              </w:rPr>
              <w:t>开户银</w:t>
            </w:r>
            <w:r>
              <w:rPr>
                <w:rFonts w:hint="eastAsia" w:ascii="宋体" w:hAnsi="宋体" w:eastAsia="宋体" w:cs="Times New Roman"/>
                <w:bCs/>
                <w:spacing w:val="0"/>
                <w:kern w:val="0"/>
                <w:szCs w:val="21"/>
                <w:fitText w:val="1170" w:id="17"/>
              </w:rPr>
              <w:t>行</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8"/>
              </w:rPr>
              <w:t>银行账</w:t>
            </w:r>
            <w:r>
              <w:rPr>
                <w:rFonts w:hint="eastAsia" w:ascii="宋体" w:hAnsi="宋体" w:eastAsia="宋体" w:cs="Times New Roman"/>
                <w:bCs/>
                <w:spacing w:val="0"/>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9"/>
              </w:rPr>
              <w:t>银行账</w:t>
            </w:r>
            <w:r>
              <w:rPr>
                <w:rFonts w:hint="eastAsia" w:ascii="宋体" w:hAnsi="宋体" w:eastAsia="宋体" w:cs="Times New Roman"/>
                <w:bCs/>
                <w:spacing w:val="0"/>
                <w:kern w:val="0"/>
                <w:szCs w:val="21"/>
                <w:fitText w:val="1170" w:id="19"/>
              </w:rPr>
              <w:t>号</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7"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restar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w:t>
            </w:r>
            <w:r>
              <w:rPr>
                <w:rFonts w:ascii="Times New Roman" w:hAnsi="Times New Roman" w:eastAsia="宋体" w:cs="Times New Roman"/>
                <w:bCs/>
              </w:rPr>
              <w:t xml:space="preserve">      </w:t>
            </w:r>
            <w:r>
              <w:rPr>
                <w:rFonts w:hint="eastAsia" w:ascii="Times New Roman" w:hAnsi="Times New Roman" w:eastAsia="宋体" w:cs="Times New Roman"/>
                <w:bCs/>
              </w:rPr>
              <w:t>）金额（大写）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投标书或报价文件承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投标书或报价文件承诺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）报价文件和评审现场承诺，本合同不另附。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rPr>
          <w:rFonts w:ascii="宋体" w:hAnsi="宋体" w:eastAsia="宋体" w:cs="Times New Roman"/>
          <w:szCs w:val="21"/>
        </w:rPr>
      </w:pPr>
    </w:p>
    <w:p>
      <w:pPr>
        <w:rPr>
          <w:rFonts w:ascii="黑体" w:hAnsi="Times New Roman" w:eastAsia="黑体" w:cs="Times New Roman"/>
          <w:sz w:val="28"/>
          <w:szCs w:val="28"/>
        </w:rPr>
      </w:pP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492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2744"/>
        <w:gridCol w:w="2450"/>
        <w:gridCol w:w="1904"/>
        <w:gridCol w:w="1462"/>
        <w:gridCol w:w="1293"/>
        <w:gridCol w:w="1841"/>
        <w:gridCol w:w="21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7" w:type="default"/>
          <w:footerReference r:id="rId8"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9" w:name="_Toc390713970"/>
      <w:bookmarkStart w:id="20" w:name="_Toc285612604"/>
      <w:bookmarkStart w:id="21" w:name="_Toc37172691"/>
      <w:bookmarkStart w:id="22" w:name="_Toc435540982"/>
      <w:bookmarkStart w:id="23" w:name="_Toc37780287"/>
      <w:bookmarkStart w:id="24" w:name="_Toc240432233"/>
      <w:r>
        <w:rPr>
          <w:rFonts w:hint="eastAsia" w:ascii="黑体" w:hAnsi="黑体" w:eastAsia="黑体" w:cs="Times New Roman"/>
          <w:kern w:val="0"/>
          <w:sz w:val="32"/>
          <w:szCs w:val="32"/>
        </w:rPr>
        <w:t>第五部分  附件/报价文件格式</w:t>
      </w:r>
      <w:bookmarkEnd w:id="19"/>
      <w:bookmarkEnd w:id="20"/>
      <w:bookmarkEnd w:id="21"/>
      <w:bookmarkEnd w:id="22"/>
      <w:bookmarkEnd w:id="23"/>
      <w:bookmarkEnd w:id="24"/>
    </w:p>
    <w:p>
      <w:pPr>
        <w:spacing w:line="580" w:lineRule="exact"/>
        <w:rPr>
          <w:rFonts w:ascii="Times New Roman" w:hAnsi="Times New Roman" w:eastAsia="宋体" w:cs="Times New Roman"/>
          <w:kern w:val="0"/>
          <w:sz w:val="28"/>
          <w:szCs w:val="28"/>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附件1：报价函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附件4：货物简要说明一览表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附件9：易损易耗备件清单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附件11：报价方售后服务承诺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附件13：近3年成交案例及同类项目案例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附件18：主要股东或出资人信息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附件19：保密承诺书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附件20：廉洁诚信承诺书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附件21：相关声明书（包含但不限于以下内容：①非外资企业或外资控股企业的书面声明；②参加本次采购活动前3年内在经营活动中没有重大违法记录的书面声明）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附件22：生产企业对代理公司参与报价的授权书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spacing w:line="560" w:lineRule="exact"/>
        <w:jc w:val="center"/>
        <w:rPr>
          <w:rFonts w:ascii="方正小标宋简体" w:hAnsi="Times New Roman" w:eastAsia="方正小标宋简体" w:cs="Times New Roman"/>
          <w:kern w:val="0"/>
          <w:sz w:val="30"/>
          <w:szCs w:val="30"/>
        </w:rPr>
      </w:pPr>
      <w:r>
        <w:rPr>
          <w:rFonts w:hint="eastAsia" w:ascii="方正小标宋简体" w:hAnsi="Times New Roman" w:eastAsia="方正小标宋简体" w:cs="Times New Roman"/>
          <w:kern w:val="0"/>
          <w:sz w:val="30"/>
          <w:szCs w:val="30"/>
        </w:rPr>
        <w:t>报  价  函</w:t>
      </w:r>
    </w:p>
    <w:p>
      <w:pPr>
        <w:spacing w:line="400" w:lineRule="exact"/>
        <w:rPr>
          <w:rFonts w:ascii="仿宋_GB2312" w:hAnsi="Times New Roman" w:eastAsia="仿宋_GB2312" w:cs="Times New Roman"/>
          <w:kern w:val="0"/>
          <w:sz w:val="32"/>
          <w:szCs w:val="32"/>
        </w:rPr>
      </w:pPr>
    </w:p>
    <w:p>
      <w:pPr>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竞争性谈判采购活动，并对</w:t>
      </w:r>
      <w:r>
        <w:rPr>
          <w:rFonts w:hint="eastAsia" w:cs="Times New Roman" w:asciiTheme="minorEastAsia" w:hAnsiTheme="minorEastAsia"/>
          <w:kern w:val="0"/>
          <w:sz w:val="28"/>
          <w:szCs w:val="28"/>
          <w:u w:val="single"/>
        </w:rPr>
        <w:t>（包号或货物名称）</w:t>
      </w:r>
      <w:r>
        <w:rPr>
          <w:rFonts w:hint="eastAsia" w:cs="Times New Roman" w:asciiTheme="minorEastAsia" w:hAnsiTheme="minorEastAsia"/>
          <w:kern w:val="0"/>
          <w:sz w:val="28"/>
          <w:szCs w:val="28"/>
        </w:rPr>
        <w:t>进行报价。</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一、按照谈判文件规定提交</w:t>
      </w:r>
      <w:r>
        <w:rPr>
          <w:rFonts w:hint="eastAsia" w:cs="Times New Roman" w:asciiTheme="minorEastAsia" w:hAnsiTheme="minorEastAsia"/>
          <w:kern w:val="0"/>
          <w:sz w:val="28"/>
          <w:szCs w:val="28"/>
          <w:lang w:val="zh-CN"/>
        </w:rPr>
        <w:t>报价文件正本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份和副本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w:t>
      </w:r>
      <w:r>
        <w:rPr>
          <w:rFonts w:hint="eastAsia" w:cs="Times New Roman" w:asciiTheme="minorEastAsia" w:hAnsiTheme="minorEastAsia"/>
          <w:kern w:val="0"/>
          <w:sz w:val="28"/>
          <w:szCs w:val="28"/>
          <w:lang w:val="zh-CN"/>
        </w:rPr>
        <w:t>我方已完全理解谈判文件的全部内容，自愿接受并执行谈判文件的全部条款</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三、本报价文件</w:t>
      </w:r>
      <w:r>
        <w:rPr>
          <w:rFonts w:hint="eastAsia" w:cs="Times New Roman" w:asciiTheme="minorEastAsia" w:hAnsiTheme="minorEastAsia"/>
          <w:kern w:val="0"/>
          <w:sz w:val="28"/>
          <w:szCs w:val="28"/>
          <w:lang w:val="zh-CN"/>
        </w:rPr>
        <w:t>有效期自报价截止之日起180日内有效</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Times New Roman" w:asciiTheme="minorEastAsia" w:hAnsiTheme="minorEastAsia"/>
          <w:kern w:val="0"/>
          <w:sz w:val="28"/>
          <w:szCs w:val="28"/>
        </w:rPr>
        <w:t>四、</w:t>
      </w:r>
      <w:r>
        <w:rPr>
          <w:rFonts w:hint="eastAsia" w:cs="宋体" w:asciiTheme="minorEastAsia" w:hAnsiTheme="minorEastAsia"/>
          <w:snapToGrid w:val="0"/>
          <w:kern w:val="0"/>
          <w:sz w:val="28"/>
          <w:szCs w:val="28"/>
          <w:lang w:val="zh-CN"/>
        </w:rPr>
        <w:t>我方在参与谈判前已仔细研究了谈判文件和所有相关资料，同意谈判文件的相关条款。</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宋体" w:asciiTheme="minorEastAsia" w:hAnsiTheme="minor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宋体" w:asciiTheme="minorEastAsia" w:hAnsiTheme="minorEastAsia"/>
          <w:snapToGrid w:val="0"/>
          <w:kern w:val="0"/>
          <w:sz w:val="28"/>
          <w:szCs w:val="28"/>
          <w:lang w:val="zh-CN"/>
        </w:rPr>
        <w:t>六、</w:t>
      </w:r>
      <w:r>
        <w:rPr>
          <w:rFonts w:hint="eastAsia" w:cs="Times New Roman" w:asciiTheme="minorEastAsia" w:hAnsiTheme="minorEastAsia"/>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spacing w:line="440" w:lineRule="exact"/>
        <w:ind w:firstLine="1328" w:firstLineChars="490"/>
        <w:rPr>
          <w:rFonts w:cs="Times New Roman" w:asciiTheme="minorEastAsia" w:hAnsiTheme="minorEastAsia"/>
          <w:kern w:val="0"/>
          <w:sz w:val="28"/>
          <w:szCs w:val="28"/>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9"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报价一览表</w:t>
      </w:r>
    </w:p>
    <w:p>
      <w:pPr>
        <w:rPr>
          <w:rFonts w:ascii="Times New Roman" w:hAnsi="Times New Roman" w:eastAsia="宋体" w:cs="Times New Roman"/>
          <w:kern w:val="0"/>
          <w:sz w:val="28"/>
          <w:szCs w:val="28"/>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项目名称：</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项目编号：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包号：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hAnsi="宋体" w:eastAsia="宋体" w:cs="Times New Roman"/>
                <w:b/>
                <w:kern w:val="0"/>
                <w:sz w:val="24"/>
                <w:szCs w:val="24"/>
              </w:rPr>
            </w:pPr>
            <w:r>
              <w:rPr>
                <w:rFonts w:hint="eastAsia" w:ascii="宋体" w:hAnsi="宋体" w:eastAsia="宋体" w:cs="Times New Roman"/>
                <w:kern w:val="0"/>
                <w:sz w:val="24"/>
                <w:szCs w:val="24"/>
              </w:rPr>
              <w:t>货物总金额（大写人民币）</w:t>
            </w:r>
            <w:r>
              <w:rPr>
                <w:rFonts w:hint="eastAsia" w:ascii="宋体" w:hAnsi="宋体" w:eastAsia="宋体" w:cs="Times New Roman"/>
                <w:bCs/>
                <w:spacing w:val="-4"/>
                <w:kern w:val="0"/>
                <w:sz w:val="24"/>
                <w:szCs w:val="24"/>
              </w:rPr>
              <w:t>：</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说明：总价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jc w:val="left"/>
        <w:rPr>
          <w:rFonts w:ascii="Times New Roman" w:hAnsi="Times New Roman" w:eastAsia="宋体" w:cs="Times New Roman"/>
          <w:kern w:val="0"/>
          <w:sz w:val="28"/>
          <w:szCs w:val="28"/>
        </w:rPr>
      </w:pP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包号：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bookmarkStart w:id="25" w:name="_Toc285612606"/>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10"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bookmarkEnd w:id="25"/>
    <w:p>
      <w:pPr>
        <w:tabs>
          <w:tab w:val="left" w:pos="0"/>
        </w:tabs>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32"/>
          <w:szCs w:val="32"/>
        </w:rPr>
        <w:t>货物简要说明一览表</w:t>
      </w:r>
    </w:p>
    <w:p>
      <w:pPr>
        <w:autoSpaceDE w:val="0"/>
        <w:autoSpaceDN w:val="0"/>
        <w:adjustRightInd w:val="0"/>
        <w:rPr>
          <w:rFonts w:ascii="华文中宋" w:hAnsi="华文中宋" w:eastAsia="华文中宋" w:cs="宋体"/>
          <w:kern w:val="0"/>
          <w:sz w:val="24"/>
          <w:szCs w:val="24"/>
          <w:lang w:val="zh-CN"/>
        </w:rPr>
      </w:pPr>
      <w:r>
        <w:rPr>
          <w:rFonts w:hint="eastAsia" w:ascii="宋体" w:hAnsi="宋体" w:eastAsia="宋体" w:cs="宋体"/>
          <w:kern w:val="0"/>
          <w:sz w:val="24"/>
          <w:szCs w:val="24"/>
        </w:rPr>
        <w:t xml:space="preserve">项目名称：                       项目编号：                     包号：   </w:t>
      </w:r>
    </w:p>
    <w:tbl>
      <w:tblPr>
        <w:tblStyle w:val="17"/>
        <w:tblW w:w="5000" w:type="pct"/>
        <w:jc w:val="center"/>
        <w:tblLayout w:type="autofit"/>
        <w:tblCellMar>
          <w:top w:w="0" w:type="dxa"/>
          <w:left w:w="0" w:type="dxa"/>
          <w:bottom w:w="0" w:type="dxa"/>
          <w:right w:w="0" w:type="dxa"/>
        </w:tblCellMar>
      </w:tblPr>
      <w:tblGrid>
        <w:gridCol w:w="649"/>
        <w:gridCol w:w="1923"/>
        <w:gridCol w:w="1417"/>
        <w:gridCol w:w="1134"/>
        <w:gridCol w:w="709"/>
        <w:gridCol w:w="1730"/>
        <w:gridCol w:w="1323"/>
      </w:tblGrid>
      <w:tr>
        <w:tblPrEx>
          <w:tblCellMar>
            <w:top w:w="0" w:type="dxa"/>
            <w:left w:w="0" w:type="dxa"/>
            <w:bottom w:w="0" w:type="dxa"/>
            <w:right w:w="0" w:type="dxa"/>
          </w:tblCellMar>
        </w:tblPrEx>
        <w:trPr>
          <w:trHeight w:val="851" w:hRule="exact"/>
          <w:jc w:val="center"/>
        </w:trPr>
        <w:tc>
          <w:tcPr>
            <w:tcW w:w="649"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1923"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主要部件名称</w:t>
            </w:r>
          </w:p>
        </w:tc>
        <w:tc>
          <w:tcPr>
            <w:tcW w:w="1417"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规格型号</w:t>
            </w:r>
          </w:p>
        </w:tc>
        <w:tc>
          <w:tcPr>
            <w:tcW w:w="1134"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计量</w:t>
            </w:r>
          </w:p>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单位</w:t>
            </w:r>
          </w:p>
        </w:tc>
        <w:tc>
          <w:tcPr>
            <w:tcW w:w="709"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数量</w:t>
            </w:r>
          </w:p>
        </w:tc>
        <w:tc>
          <w:tcPr>
            <w:tcW w:w="1730"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bl>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spacing w:line="420" w:lineRule="exact"/>
        <w:ind w:right="539"/>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40"/>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报价方应对照谈判文件技术要求，逐条如实填写所报产品的具体指标参数，注明无偏离、正偏离或负偏离，并在备注中注明偏离的具体内容。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技术指标参数响应栏如果原文复制谈判文件技术要求，可能会被视为无效报价。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商务条款主要包括报价要求、售后服务、专利权和保密要求、交货时间、地点与方式、付款及结算方式等。如有遗漏，请报价方按照谈判文件正文自行补充完整。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报价文件商务条款响应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请报价方认真填写本表内容，如填写错误将可能导致报价无效。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报价方售后服务承诺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报价方对照商务评审表中售后服务评审项自行编制，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2"/>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2"/>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w:t>
      </w:r>
      <w:r>
        <w:rPr>
          <w:rFonts w:hint="eastAsia" w:ascii="宋体" w:hAnsi="宋体" w:eastAsia="宋体" w:cs="Times New Roman"/>
          <w:sz w:val="28"/>
          <w:szCs w:val="28"/>
          <w:lang w:val="zh-CN"/>
        </w:rPr>
        <w:t>谈判</w:t>
      </w:r>
      <w:r>
        <w:rPr>
          <w:rFonts w:ascii="宋体" w:hAnsi="宋体" w:eastAsia="宋体" w:cs="Times New Roman"/>
          <w:sz w:val="28"/>
          <w:szCs w:val="28"/>
          <w:lang w:val="zh-CN"/>
        </w:rPr>
        <w:t>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2"/>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2"/>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2"/>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2"/>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2"/>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2"/>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生产厂家全称：（盖章）</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2.报价方应附销售合同复印件，按合同有效金额由高到低顺序装订，包括：合同首尾页、签字盖章页、合同金额页、产品信息页。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3.报价方提供虚假合同的，按虚假响应处理。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技术专利证书1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技术专利证书2</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asciiTheme="majorEastAsia" w:hAnsiTheme="majorEastAsia" w:eastAsiaTheme="majorEastAsia"/>
                <w:szCs w:val="21"/>
              </w:rPr>
              <w:t>…</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CE认证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3   </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FDA认证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产品投放市场时间</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入围最近年度“中国医疗设备行业数据及售后服务调查”三甲医院推荐品牌及排名情况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入围最近年度“中国医学装备协会发布优秀国产医疗设备产品目录”情况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inorEastAsia" w:hAnsiTheme="minorEastAsia"/>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零配件报价</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零配件保证供应时间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到位维修响应时间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保修期外维修费用</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技术支持和服务网点</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注：以上项目由报价方自行填写，对于未提供项填写“无”。</w:t>
      </w: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商务评审表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注：以上项目由报价方自行填写，对于未提供项填写“无”。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附件16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（报价方全称）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w:pict>
          <v:shape id="文本框 5" o:spid="_x0000_s1032" o:spt="202" type="#_x0000_t202" style="position:absolute;left:0pt;margin-left:226.9pt;margin-top:10.35pt;height:103.9pt;width:209.1pt;z-index:251660288;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6" o:spid="_x0000_s1031" o:spt="202" type="#_x0000_t202" style="position:absolute;left:0pt;margin-left:2.1pt;margin-top:10.35pt;height:103.9pt;width:206.6pt;z-index:251659264;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（签字或盖章）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7</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（报价方全称）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w:pict>
          <v:shape id="文本框 1" o:spid="_x0000_s1034" o:spt="202" type="#_x0000_t202" style="position:absolute;left:0pt;margin-left:228.25pt;margin-top:14.25pt;height:105.95pt;width:210.95pt;z-index:251662336;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2" o:spid="_x0000_s1033" o:spt="202" type="#_x0000_t202" style="position:absolute;left:0pt;margin-left:1.4pt;margin-top:15.6pt;height:104.6pt;width:211.6pt;z-index:251661312;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我方承诺，以上信息真实可靠；如填报的股东出资额、出资比例等与实际不符，视为放弃成交资格。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3.报价方应按照占全部股份比例从大到小依次逐个股东填写，股东数量多于10个的，填写前10名，不足10个的全部填写。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附件22</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生产企业对代理公司参与报价的授权书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1、授权书的格式不限。</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2、进口产品需提供原厂对中国总代的中英文授权，并提供中国总代至各级授权书。</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3、生产厂家直接参与报价的不需此文件。</w:t>
      </w:r>
    </w:p>
    <w:p>
      <w:pPr>
        <w:widowControl/>
        <w:jc w:val="left"/>
      </w:pPr>
      <w:r>
        <w:br w:type="page"/>
      </w:r>
    </w:p>
    <w:p>
      <w:pPr>
        <w:widowControl/>
        <w:jc w:val="left"/>
      </w:pPr>
      <w:r>
        <w:rPr>
          <w:rFonts w:hint="eastAsia" w:ascii="黑体" w:hAnsi="黑体" w:eastAsia="黑体" w:cs="Times New Roman"/>
          <w:kern w:val="0"/>
          <w:sz w:val="32"/>
          <w:szCs w:val="32"/>
        </w:rPr>
        <w:t>附件23    技术指标参数要求明细</w:t>
      </w:r>
    </w:p>
    <w:p>
      <w:pPr>
        <w:widowControl/>
        <w:jc w:val="center"/>
        <w:rPr>
          <w:rFonts w:asciiTheme="minorEastAsia" w:hAnsiTheme="minorEastAsia"/>
          <w:b/>
          <w:bCs/>
          <w:kern w:val="0"/>
          <w:sz w:val="28"/>
          <w:szCs w:val="32"/>
        </w:rPr>
      </w:pPr>
      <w:r>
        <w:rPr>
          <w:rFonts w:asciiTheme="minorEastAsia" w:hAnsiTheme="minorEastAsia"/>
          <w:b/>
          <w:bCs/>
          <w:sz w:val="40"/>
          <w:szCs w:val="44"/>
        </w:rPr>
        <w:t>荧光定量仪</w:t>
      </w:r>
    </w:p>
    <w:tbl>
      <w:tblPr>
        <w:tblStyle w:val="17"/>
        <w:tblW w:w="9090" w:type="dxa"/>
        <w:jc w:val="center"/>
        <w:tblLayout w:type="fixed"/>
        <w:tblCellMar>
          <w:top w:w="0" w:type="dxa"/>
          <w:left w:w="108" w:type="dxa"/>
          <w:bottom w:w="0" w:type="dxa"/>
          <w:right w:w="108" w:type="dxa"/>
        </w:tblCellMar>
      </w:tblPr>
      <w:tblGrid>
        <w:gridCol w:w="891"/>
        <w:gridCol w:w="2457"/>
        <w:gridCol w:w="4720"/>
        <w:gridCol w:w="1022"/>
      </w:tblGrid>
      <w:tr>
        <w:tblPrEx>
          <w:tblCellMar>
            <w:top w:w="0" w:type="dxa"/>
            <w:left w:w="108" w:type="dxa"/>
            <w:bottom w:w="0" w:type="dxa"/>
            <w:right w:w="108" w:type="dxa"/>
          </w:tblCellMar>
        </w:tblPrEx>
        <w:trPr>
          <w:trHeight w:val="510" w:hRule="atLeast"/>
          <w:tblHeader/>
          <w:jc w:val="center"/>
        </w:trPr>
        <w:tc>
          <w:tcPr>
            <w:tcW w:w="891" w:type="dxa"/>
            <w:tcBorders>
              <w:top w:val="single" w:color="auto" w:sz="8"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序号</w:t>
            </w:r>
          </w:p>
        </w:tc>
        <w:tc>
          <w:tcPr>
            <w:tcW w:w="2457"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技术和性能参数名称</w:t>
            </w:r>
          </w:p>
        </w:tc>
        <w:tc>
          <w:tcPr>
            <w:tcW w:w="4720"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技术参数和性能要求</w:t>
            </w:r>
          </w:p>
        </w:tc>
        <w:tc>
          <w:tcPr>
            <w:tcW w:w="1022" w:type="dxa"/>
            <w:tcBorders>
              <w:top w:val="single" w:color="auto" w:sz="8"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备注</w:t>
            </w:r>
          </w:p>
        </w:tc>
      </w:tr>
      <w:tr>
        <w:tblPrEx>
          <w:tblCellMar>
            <w:top w:w="0" w:type="dxa"/>
            <w:left w:w="108" w:type="dxa"/>
            <w:bottom w:w="0" w:type="dxa"/>
            <w:right w:w="108" w:type="dxa"/>
          </w:tblCellMar>
        </w:tblPrEx>
        <w:trPr>
          <w:trHeight w:val="510" w:hRule="atLeast"/>
          <w:jc w:val="center"/>
        </w:trPr>
        <w:tc>
          <w:tcPr>
            <w:tcW w:w="89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1</w:t>
            </w:r>
          </w:p>
        </w:tc>
        <w:tc>
          <w:tcPr>
            <w:tcW w:w="24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设备使用需求</w:t>
            </w:r>
          </w:p>
        </w:tc>
        <w:tc>
          <w:tcPr>
            <w:tcW w:w="47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b/>
                <w:bCs/>
                <w:kern w:val="0"/>
                <w:sz w:val="21"/>
                <w:szCs w:val="21"/>
              </w:rPr>
            </w:pPr>
          </w:p>
        </w:tc>
        <w:tc>
          <w:tcPr>
            <w:tcW w:w="1022"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b/>
                <w:bCs/>
                <w:kern w:val="0"/>
                <w:sz w:val="21"/>
                <w:szCs w:val="21"/>
              </w:rPr>
            </w:pPr>
          </w:p>
        </w:tc>
      </w:tr>
      <w:tr>
        <w:tblPrEx>
          <w:tblCellMar>
            <w:top w:w="0" w:type="dxa"/>
            <w:left w:w="108" w:type="dxa"/>
            <w:bottom w:w="0" w:type="dxa"/>
            <w:right w:w="108" w:type="dxa"/>
          </w:tblCellMar>
        </w:tblPrEx>
        <w:trPr>
          <w:trHeight w:val="510" w:hRule="atLeast"/>
          <w:jc w:val="center"/>
        </w:trPr>
        <w:tc>
          <w:tcPr>
            <w:tcW w:w="89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1.1</w:t>
            </w:r>
          </w:p>
        </w:tc>
        <w:tc>
          <w:tcPr>
            <w:tcW w:w="24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设备用途</w:t>
            </w:r>
          </w:p>
        </w:tc>
        <w:tc>
          <w:tcPr>
            <w:tcW w:w="47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适用于核酸和蛋白的精确定量分析，便于后续测序等高精度的需求</w:t>
            </w:r>
          </w:p>
        </w:tc>
        <w:tc>
          <w:tcPr>
            <w:tcW w:w="1022"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510" w:hRule="atLeast"/>
          <w:jc w:val="center"/>
        </w:trPr>
        <w:tc>
          <w:tcPr>
            <w:tcW w:w="89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1.2</w:t>
            </w:r>
          </w:p>
        </w:tc>
        <w:tc>
          <w:tcPr>
            <w:tcW w:w="245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实验对象</w:t>
            </w:r>
          </w:p>
        </w:tc>
        <w:tc>
          <w:tcPr>
            <w:tcW w:w="47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用于dsDNA、ssDNA和RNA</w:t>
            </w:r>
          </w:p>
        </w:tc>
        <w:tc>
          <w:tcPr>
            <w:tcW w:w="1022"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510" w:hRule="atLeast"/>
          <w:jc w:val="center"/>
        </w:trPr>
        <w:tc>
          <w:tcPr>
            <w:tcW w:w="89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1.3</w:t>
            </w:r>
          </w:p>
        </w:tc>
        <w:tc>
          <w:tcPr>
            <w:tcW w:w="24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特殊功能需求</w:t>
            </w:r>
          </w:p>
        </w:tc>
        <w:tc>
          <w:tcPr>
            <w:tcW w:w="47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bCs/>
                <w:kern w:val="0"/>
                <w:sz w:val="21"/>
                <w:szCs w:val="21"/>
              </w:rPr>
            </w:pPr>
          </w:p>
        </w:tc>
        <w:tc>
          <w:tcPr>
            <w:tcW w:w="1022"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b/>
                <w:bCs/>
                <w:kern w:val="0"/>
                <w:sz w:val="21"/>
                <w:szCs w:val="21"/>
              </w:rPr>
            </w:pPr>
          </w:p>
        </w:tc>
      </w:tr>
      <w:tr>
        <w:tblPrEx>
          <w:tblCellMar>
            <w:top w:w="0" w:type="dxa"/>
            <w:left w:w="108" w:type="dxa"/>
            <w:bottom w:w="0" w:type="dxa"/>
            <w:right w:w="108" w:type="dxa"/>
          </w:tblCellMar>
        </w:tblPrEx>
        <w:trPr>
          <w:trHeight w:val="510" w:hRule="atLeast"/>
          <w:jc w:val="center"/>
        </w:trPr>
        <w:tc>
          <w:tcPr>
            <w:tcW w:w="89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2</w:t>
            </w:r>
          </w:p>
        </w:tc>
        <w:tc>
          <w:tcPr>
            <w:tcW w:w="24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主要技术参数</w:t>
            </w:r>
            <w:r>
              <w:rPr>
                <w:rFonts w:hint="eastAsia" w:ascii="宋体" w:hAnsi="宋体" w:eastAsia="宋体" w:cs="宋体"/>
                <w:b/>
                <w:bCs/>
                <w:kern w:val="0"/>
                <w:sz w:val="21"/>
                <w:szCs w:val="21"/>
              </w:rPr>
              <w:br w:type="textWrapping"/>
            </w:r>
            <w:r>
              <w:rPr>
                <w:rFonts w:hint="eastAsia" w:ascii="宋体" w:hAnsi="宋体" w:eastAsia="宋体" w:cs="宋体"/>
                <w:b/>
                <w:bCs/>
                <w:kern w:val="0"/>
                <w:sz w:val="21"/>
                <w:szCs w:val="21"/>
              </w:rPr>
              <w:t>（一行只写一个参数）</w:t>
            </w:r>
          </w:p>
        </w:tc>
        <w:tc>
          <w:tcPr>
            <w:tcW w:w="47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kern w:val="0"/>
                <w:sz w:val="21"/>
                <w:szCs w:val="21"/>
              </w:rPr>
            </w:pPr>
            <w:bookmarkStart w:id="26" w:name="_GoBack"/>
            <w:bookmarkEnd w:id="26"/>
          </w:p>
        </w:tc>
        <w:tc>
          <w:tcPr>
            <w:tcW w:w="1022"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510" w:hRule="atLeast"/>
          <w:jc w:val="center"/>
        </w:trPr>
        <w:tc>
          <w:tcPr>
            <w:tcW w:w="89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2.1</w:t>
            </w:r>
          </w:p>
        </w:tc>
        <w:tc>
          <w:tcPr>
            <w:tcW w:w="24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★参数1</w:t>
            </w:r>
          </w:p>
        </w:tc>
        <w:tc>
          <w:tcPr>
            <w:tcW w:w="4720" w:type="dxa"/>
            <w:tcBorders>
              <w:top w:val="nil"/>
              <w:left w:val="nil"/>
              <w:bottom w:val="single" w:color="auto" w:sz="4" w:space="0"/>
              <w:right w:val="single" w:color="auto" w:sz="4" w:space="0"/>
            </w:tcBorders>
            <w:vAlign w:val="center"/>
          </w:tcPr>
          <w:p>
            <w:pPr>
              <w:pStyle w:val="8"/>
              <w:keepNext w:val="0"/>
              <w:keepLines w:val="0"/>
              <w:pageBreakBefore w:val="0"/>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sz w:val="21"/>
                <w:szCs w:val="21"/>
              </w:rPr>
            </w:pPr>
            <w:r>
              <w:rPr>
                <w:rFonts w:hint="eastAsia" w:ascii="宋体" w:hAnsi="宋体" w:eastAsia="宋体" w:cs="宋体"/>
                <w:sz w:val="21"/>
                <w:szCs w:val="21"/>
              </w:rPr>
              <w:t>分子荧光染料，只与特定分子结合才发荧光，可专一性地定量dsDNA，ssDNA，RNA，microRNA和蛋白质</w:t>
            </w:r>
          </w:p>
        </w:tc>
        <w:tc>
          <w:tcPr>
            <w:tcW w:w="1022"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510" w:hRule="atLeast"/>
          <w:jc w:val="center"/>
        </w:trPr>
        <w:tc>
          <w:tcPr>
            <w:tcW w:w="89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2.2</w:t>
            </w:r>
          </w:p>
        </w:tc>
        <w:tc>
          <w:tcPr>
            <w:tcW w:w="24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★参数2</w:t>
            </w:r>
          </w:p>
        </w:tc>
        <w:tc>
          <w:tcPr>
            <w:tcW w:w="4720"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sz w:val="21"/>
                <w:szCs w:val="21"/>
              </w:rPr>
            </w:pPr>
            <w:r>
              <w:rPr>
                <w:rFonts w:hint="eastAsia" w:ascii="宋体" w:hAnsi="宋体" w:eastAsia="宋体" w:cs="宋体"/>
                <w:sz w:val="21"/>
                <w:szCs w:val="21"/>
              </w:rPr>
              <w:t>快速简单测量完整RNA和降解RNA，测量RNA完整性，每个样品测量时间不超过5秒；RNA和蛋白质，每个样本测量时间不超过3秒</w:t>
            </w:r>
          </w:p>
        </w:tc>
        <w:tc>
          <w:tcPr>
            <w:tcW w:w="1022"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510" w:hRule="atLeast"/>
          <w:jc w:val="center"/>
        </w:trPr>
        <w:tc>
          <w:tcPr>
            <w:tcW w:w="89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2.3</w:t>
            </w:r>
          </w:p>
        </w:tc>
        <w:tc>
          <w:tcPr>
            <w:tcW w:w="24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★参数3</w:t>
            </w:r>
          </w:p>
        </w:tc>
        <w:tc>
          <w:tcPr>
            <w:tcW w:w="4720" w:type="dxa"/>
            <w:tcBorders>
              <w:top w:val="nil"/>
              <w:left w:val="nil"/>
              <w:bottom w:val="single" w:color="auto" w:sz="4" w:space="0"/>
              <w:right w:val="single" w:color="auto" w:sz="4" w:space="0"/>
            </w:tcBorders>
            <w:vAlign w:val="center"/>
          </w:tcPr>
          <w:p>
            <w:pPr>
              <w:pStyle w:val="8"/>
              <w:keepNext w:val="0"/>
              <w:keepLines w:val="0"/>
              <w:pageBreakBefore w:val="0"/>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color w:val="000000"/>
                <w:sz w:val="21"/>
                <w:szCs w:val="21"/>
              </w:rPr>
            </w:pPr>
            <w:r>
              <w:rPr>
                <w:rFonts w:hint="eastAsia" w:ascii="宋体" w:hAnsi="宋体" w:eastAsia="宋体" w:cs="宋体"/>
                <w:sz w:val="21"/>
                <w:szCs w:val="21"/>
              </w:rPr>
              <w:t>双核处理器，5秒内计算浓度，最多储存1000个样品数据</w:t>
            </w:r>
          </w:p>
        </w:tc>
        <w:tc>
          <w:tcPr>
            <w:tcW w:w="1022"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510" w:hRule="atLeast"/>
          <w:jc w:val="center"/>
        </w:trPr>
        <w:tc>
          <w:tcPr>
            <w:tcW w:w="89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2.4</w:t>
            </w:r>
          </w:p>
        </w:tc>
        <w:tc>
          <w:tcPr>
            <w:tcW w:w="245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★参数4</w:t>
            </w:r>
          </w:p>
        </w:tc>
        <w:tc>
          <w:tcPr>
            <w:tcW w:w="4720"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color w:val="000000"/>
                <w:sz w:val="21"/>
                <w:szCs w:val="21"/>
              </w:rPr>
            </w:pPr>
            <w:r>
              <w:rPr>
                <w:rFonts w:hint="eastAsia" w:ascii="宋体" w:hAnsi="宋体" w:eastAsia="宋体" w:cs="宋体"/>
                <w:sz w:val="21"/>
                <w:szCs w:val="21"/>
              </w:rPr>
              <w:t>高敏感度线性检测最低达到：dsDNA 0.01 ng/μL，ssDNA 0.05 ng/μL，RNA 0.25 ng/μL，microRNA 0.05 ng/μL ，蛋白质12.5 ng/μL</w:t>
            </w:r>
          </w:p>
        </w:tc>
        <w:tc>
          <w:tcPr>
            <w:tcW w:w="1022"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510" w:hRule="atLeast"/>
          <w:jc w:val="center"/>
        </w:trPr>
        <w:tc>
          <w:tcPr>
            <w:tcW w:w="89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2.5</w:t>
            </w:r>
          </w:p>
        </w:tc>
        <w:tc>
          <w:tcPr>
            <w:tcW w:w="245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★参数5</w:t>
            </w:r>
          </w:p>
        </w:tc>
        <w:tc>
          <w:tcPr>
            <w:tcW w:w="4720"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color w:val="000000"/>
                <w:sz w:val="21"/>
                <w:szCs w:val="21"/>
              </w:rPr>
            </w:pPr>
            <w:r>
              <w:rPr>
                <w:rFonts w:hint="eastAsia" w:ascii="宋体" w:hAnsi="宋体" w:eastAsia="宋体" w:cs="宋体"/>
                <w:sz w:val="21"/>
                <w:szCs w:val="21"/>
              </w:rPr>
              <w:t>上样量范围1-20 μL，适合稀有样品以及低丰度样品；彩色LCD触摸屏，反应灵敏，操作方便。</w:t>
            </w:r>
          </w:p>
        </w:tc>
        <w:tc>
          <w:tcPr>
            <w:tcW w:w="1022"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510" w:hRule="atLeast"/>
          <w:jc w:val="center"/>
        </w:trPr>
        <w:tc>
          <w:tcPr>
            <w:tcW w:w="89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2.6</w:t>
            </w:r>
          </w:p>
        </w:tc>
        <w:tc>
          <w:tcPr>
            <w:tcW w:w="245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参数6</w:t>
            </w:r>
          </w:p>
        </w:tc>
        <w:tc>
          <w:tcPr>
            <w:tcW w:w="4720"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sz w:val="21"/>
                <w:szCs w:val="21"/>
              </w:rPr>
            </w:pPr>
            <w:r>
              <w:rPr>
                <w:rFonts w:hint="eastAsia" w:ascii="宋体" w:hAnsi="宋体" w:eastAsia="宋体" w:cs="宋体"/>
                <w:sz w:val="21"/>
                <w:szCs w:val="21"/>
              </w:rPr>
              <w:t>可通过图形提示样品是否超过测量范围</w:t>
            </w:r>
          </w:p>
        </w:tc>
        <w:tc>
          <w:tcPr>
            <w:tcW w:w="1022"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510" w:hRule="atLeast"/>
          <w:jc w:val="center"/>
        </w:trPr>
        <w:tc>
          <w:tcPr>
            <w:tcW w:w="89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2.7</w:t>
            </w:r>
          </w:p>
        </w:tc>
        <w:tc>
          <w:tcPr>
            <w:tcW w:w="245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参数7</w:t>
            </w:r>
          </w:p>
        </w:tc>
        <w:tc>
          <w:tcPr>
            <w:tcW w:w="4720"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sz w:val="21"/>
                <w:szCs w:val="21"/>
              </w:rPr>
            </w:pPr>
            <w:r>
              <w:rPr>
                <w:rFonts w:hint="eastAsia" w:ascii="宋体" w:hAnsi="宋体" w:eastAsia="宋体" w:cs="宋体"/>
                <w:sz w:val="21"/>
                <w:szCs w:val="21"/>
              </w:rPr>
              <w:t>利用在线设计工具，自定义创建和设计新分析应用</w:t>
            </w:r>
          </w:p>
        </w:tc>
        <w:tc>
          <w:tcPr>
            <w:tcW w:w="1022"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510" w:hRule="atLeast"/>
          <w:jc w:val="center"/>
        </w:trPr>
        <w:tc>
          <w:tcPr>
            <w:tcW w:w="89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2.8</w:t>
            </w:r>
          </w:p>
        </w:tc>
        <w:tc>
          <w:tcPr>
            <w:tcW w:w="245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参数8</w:t>
            </w:r>
          </w:p>
        </w:tc>
        <w:tc>
          <w:tcPr>
            <w:tcW w:w="4720"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sz w:val="21"/>
                <w:szCs w:val="21"/>
              </w:rPr>
            </w:pPr>
            <w:r>
              <w:rPr>
                <w:rFonts w:hint="eastAsia" w:ascii="宋体" w:hAnsi="宋体" w:eastAsia="宋体" w:cs="宋体"/>
                <w:sz w:val="21"/>
                <w:szCs w:val="21"/>
              </w:rPr>
              <w:t>可用于检测文库的质量，以用于Ion PGM测序仪、illumina测序仪等测序</w:t>
            </w:r>
          </w:p>
        </w:tc>
        <w:tc>
          <w:tcPr>
            <w:tcW w:w="1022"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510" w:hRule="atLeast"/>
          <w:jc w:val="center"/>
        </w:trPr>
        <w:tc>
          <w:tcPr>
            <w:tcW w:w="89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3</w:t>
            </w:r>
          </w:p>
        </w:tc>
        <w:tc>
          <w:tcPr>
            <w:tcW w:w="245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配置需求</w:t>
            </w:r>
            <w:r>
              <w:rPr>
                <w:rFonts w:hint="eastAsia" w:ascii="宋体" w:hAnsi="宋体" w:eastAsia="宋体" w:cs="宋体"/>
                <w:b/>
                <w:bCs/>
                <w:kern w:val="0"/>
                <w:sz w:val="21"/>
                <w:szCs w:val="21"/>
              </w:rPr>
              <w:br w:type="textWrapping"/>
            </w:r>
            <w:r>
              <w:rPr>
                <w:rFonts w:hint="eastAsia" w:ascii="宋体" w:hAnsi="宋体" w:eastAsia="宋体" w:cs="宋体"/>
                <w:b/>
                <w:bCs/>
                <w:kern w:val="0"/>
                <w:sz w:val="21"/>
                <w:szCs w:val="21"/>
              </w:rPr>
              <w:t>（一行只写一个配置）</w:t>
            </w:r>
          </w:p>
        </w:tc>
        <w:tc>
          <w:tcPr>
            <w:tcW w:w="47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kern w:val="0"/>
                <w:sz w:val="21"/>
                <w:szCs w:val="21"/>
              </w:rPr>
            </w:pPr>
          </w:p>
        </w:tc>
        <w:tc>
          <w:tcPr>
            <w:tcW w:w="1022"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510" w:hRule="atLeast"/>
          <w:jc w:val="center"/>
        </w:trPr>
        <w:tc>
          <w:tcPr>
            <w:tcW w:w="89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3.1</w:t>
            </w:r>
          </w:p>
        </w:tc>
        <w:tc>
          <w:tcPr>
            <w:tcW w:w="245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配置1</w:t>
            </w:r>
          </w:p>
        </w:tc>
        <w:tc>
          <w:tcPr>
            <w:tcW w:w="47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sz w:val="21"/>
                <w:szCs w:val="21"/>
              </w:rPr>
            </w:pPr>
            <w:r>
              <w:rPr>
                <w:rFonts w:hint="eastAsia" w:ascii="宋体" w:hAnsi="宋体" w:eastAsia="宋体" w:cs="宋体"/>
                <w:kern w:val="0"/>
                <w:sz w:val="21"/>
                <w:szCs w:val="21"/>
              </w:rPr>
              <w:t>主机</w:t>
            </w:r>
          </w:p>
        </w:tc>
        <w:tc>
          <w:tcPr>
            <w:tcW w:w="1022"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510" w:hRule="atLeast"/>
          <w:jc w:val="center"/>
        </w:trPr>
        <w:tc>
          <w:tcPr>
            <w:tcW w:w="89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3.2</w:t>
            </w:r>
          </w:p>
        </w:tc>
        <w:tc>
          <w:tcPr>
            <w:tcW w:w="24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配置2</w:t>
            </w:r>
          </w:p>
        </w:tc>
        <w:tc>
          <w:tcPr>
            <w:tcW w:w="47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Cs/>
                <w:sz w:val="21"/>
                <w:szCs w:val="21"/>
              </w:rPr>
            </w:pPr>
            <w:r>
              <w:rPr>
                <w:rFonts w:hint="eastAsia" w:ascii="宋体" w:hAnsi="宋体" w:eastAsia="宋体" w:cs="宋体"/>
                <w:bCs/>
                <w:sz w:val="21"/>
                <w:szCs w:val="21"/>
              </w:rPr>
              <w:t>电源线及起始耗材包</w:t>
            </w:r>
          </w:p>
        </w:tc>
        <w:tc>
          <w:tcPr>
            <w:tcW w:w="1022"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510" w:hRule="atLeast"/>
          <w:jc w:val="center"/>
        </w:trPr>
        <w:tc>
          <w:tcPr>
            <w:tcW w:w="89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4</w:t>
            </w:r>
          </w:p>
        </w:tc>
        <w:tc>
          <w:tcPr>
            <w:tcW w:w="245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售后服务</w:t>
            </w:r>
          </w:p>
        </w:tc>
        <w:tc>
          <w:tcPr>
            <w:tcW w:w="47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bCs/>
                <w:kern w:val="0"/>
                <w:sz w:val="21"/>
                <w:szCs w:val="21"/>
              </w:rPr>
            </w:pPr>
          </w:p>
        </w:tc>
        <w:tc>
          <w:tcPr>
            <w:tcW w:w="1022"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b/>
                <w:bCs/>
                <w:kern w:val="0"/>
                <w:sz w:val="21"/>
                <w:szCs w:val="21"/>
              </w:rPr>
            </w:pPr>
          </w:p>
        </w:tc>
      </w:tr>
      <w:tr>
        <w:tblPrEx>
          <w:tblCellMar>
            <w:top w:w="0" w:type="dxa"/>
            <w:left w:w="108" w:type="dxa"/>
            <w:bottom w:w="0" w:type="dxa"/>
            <w:right w:w="108" w:type="dxa"/>
          </w:tblCellMar>
        </w:tblPrEx>
        <w:trPr>
          <w:trHeight w:val="510" w:hRule="atLeast"/>
          <w:jc w:val="center"/>
        </w:trPr>
        <w:tc>
          <w:tcPr>
            <w:tcW w:w="89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4.1</w:t>
            </w:r>
          </w:p>
        </w:tc>
        <w:tc>
          <w:tcPr>
            <w:tcW w:w="24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保修年限</w:t>
            </w:r>
          </w:p>
        </w:tc>
        <w:tc>
          <w:tcPr>
            <w:tcW w:w="47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≥3年</w:t>
            </w:r>
          </w:p>
        </w:tc>
        <w:tc>
          <w:tcPr>
            <w:tcW w:w="1022"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510" w:hRule="atLeast"/>
          <w:jc w:val="center"/>
        </w:trPr>
        <w:tc>
          <w:tcPr>
            <w:tcW w:w="89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4.2</w:t>
            </w:r>
          </w:p>
        </w:tc>
        <w:tc>
          <w:tcPr>
            <w:tcW w:w="24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出现故障回应时间</w:t>
            </w:r>
          </w:p>
        </w:tc>
        <w:tc>
          <w:tcPr>
            <w:tcW w:w="47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维修到达现场时间≤ 6小时（本地）</w:t>
            </w:r>
            <w:r>
              <w:rPr>
                <w:rFonts w:hint="eastAsia" w:ascii="宋体" w:hAnsi="宋体" w:eastAsia="宋体" w:cs="宋体"/>
                <w:kern w:val="0"/>
                <w:sz w:val="21"/>
                <w:szCs w:val="21"/>
              </w:rPr>
              <w:br w:type="textWrapping"/>
            </w:r>
            <w:r>
              <w:rPr>
                <w:rFonts w:hint="eastAsia" w:ascii="宋体" w:hAnsi="宋体" w:eastAsia="宋体" w:cs="宋体"/>
                <w:kern w:val="0"/>
                <w:sz w:val="21"/>
                <w:szCs w:val="21"/>
              </w:rPr>
              <w:t>维修到达现场时间≤24小时（外地）</w:t>
            </w:r>
          </w:p>
        </w:tc>
        <w:tc>
          <w:tcPr>
            <w:tcW w:w="1022"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510" w:hRule="atLeast"/>
          <w:jc w:val="center"/>
        </w:trPr>
        <w:tc>
          <w:tcPr>
            <w:tcW w:w="8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4.3</w:t>
            </w:r>
          </w:p>
        </w:tc>
        <w:tc>
          <w:tcPr>
            <w:tcW w:w="245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维修支持</w:t>
            </w:r>
          </w:p>
        </w:tc>
        <w:tc>
          <w:tcPr>
            <w:tcW w:w="47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配件供应时间≥10年</w:t>
            </w:r>
          </w:p>
        </w:tc>
        <w:tc>
          <w:tcPr>
            <w:tcW w:w="102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color w:val="FF0000"/>
                <w:kern w:val="0"/>
                <w:sz w:val="21"/>
                <w:szCs w:val="21"/>
              </w:rPr>
            </w:pPr>
          </w:p>
        </w:tc>
      </w:tr>
      <w:tr>
        <w:tblPrEx>
          <w:tblCellMar>
            <w:top w:w="0" w:type="dxa"/>
            <w:left w:w="108" w:type="dxa"/>
            <w:bottom w:w="0" w:type="dxa"/>
            <w:right w:w="108" w:type="dxa"/>
          </w:tblCellMar>
        </w:tblPrEx>
        <w:trPr>
          <w:trHeight w:val="510" w:hRule="atLeast"/>
          <w:jc w:val="center"/>
        </w:trPr>
        <w:tc>
          <w:tcPr>
            <w:tcW w:w="89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4.4</w:t>
            </w:r>
          </w:p>
        </w:tc>
        <w:tc>
          <w:tcPr>
            <w:tcW w:w="24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耗材及零配件</w:t>
            </w:r>
          </w:p>
        </w:tc>
        <w:tc>
          <w:tcPr>
            <w:tcW w:w="47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提供耗材及主要零配件目录（含报价）</w:t>
            </w:r>
          </w:p>
        </w:tc>
        <w:tc>
          <w:tcPr>
            <w:tcW w:w="1022"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510" w:hRule="atLeast"/>
          <w:jc w:val="center"/>
        </w:trPr>
        <w:tc>
          <w:tcPr>
            <w:tcW w:w="89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4.5</w:t>
            </w:r>
          </w:p>
        </w:tc>
        <w:tc>
          <w:tcPr>
            <w:tcW w:w="24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维修资料</w:t>
            </w:r>
          </w:p>
        </w:tc>
        <w:tc>
          <w:tcPr>
            <w:tcW w:w="47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提供详细操作手册、维修保养手册、安装手册等</w:t>
            </w:r>
          </w:p>
        </w:tc>
        <w:tc>
          <w:tcPr>
            <w:tcW w:w="1022"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510" w:hRule="atLeast"/>
          <w:jc w:val="center"/>
        </w:trPr>
        <w:tc>
          <w:tcPr>
            <w:tcW w:w="89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4.6</w:t>
            </w:r>
          </w:p>
        </w:tc>
        <w:tc>
          <w:tcPr>
            <w:tcW w:w="24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维修工具</w:t>
            </w:r>
          </w:p>
        </w:tc>
        <w:tc>
          <w:tcPr>
            <w:tcW w:w="47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提供维修专用工具1套</w:t>
            </w:r>
          </w:p>
        </w:tc>
        <w:tc>
          <w:tcPr>
            <w:tcW w:w="1022"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color w:val="FF0000"/>
                <w:kern w:val="0"/>
                <w:sz w:val="21"/>
                <w:szCs w:val="21"/>
              </w:rPr>
            </w:pPr>
          </w:p>
        </w:tc>
      </w:tr>
      <w:tr>
        <w:tblPrEx>
          <w:tblCellMar>
            <w:top w:w="0" w:type="dxa"/>
            <w:left w:w="108" w:type="dxa"/>
            <w:bottom w:w="0" w:type="dxa"/>
            <w:right w:w="108" w:type="dxa"/>
          </w:tblCellMar>
        </w:tblPrEx>
        <w:trPr>
          <w:trHeight w:val="510" w:hRule="atLeast"/>
          <w:jc w:val="center"/>
        </w:trPr>
        <w:tc>
          <w:tcPr>
            <w:tcW w:w="89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4.7</w:t>
            </w:r>
          </w:p>
        </w:tc>
        <w:tc>
          <w:tcPr>
            <w:tcW w:w="24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预防性维修</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/定期维护保养</w:t>
            </w:r>
          </w:p>
        </w:tc>
        <w:tc>
          <w:tcPr>
            <w:tcW w:w="47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保修期内提供定期维护保养服务</w:t>
            </w:r>
          </w:p>
        </w:tc>
        <w:tc>
          <w:tcPr>
            <w:tcW w:w="1022"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color w:val="FF0000"/>
                <w:kern w:val="0"/>
                <w:sz w:val="21"/>
                <w:szCs w:val="21"/>
              </w:rPr>
            </w:pPr>
          </w:p>
        </w:tc>
      </w:tr>
      <w:tr>
        <w:tblPrEx>
          <w:tblCellMar>
            <w:top w:w="0" w:type="dxa"/>
            <w:left w:w="108" w:type="dxa"/>
            <w:bottom w:w="0" w:type="dxa"/>
            <w:right w:w="108" w:type="dxa"/>
          </w:tblCellMar>
        </w:tblPrEx>
        <w:trPr>
          <w:trHeight w:val="510" w:hRule="atLeast"/>
          <w:jc w:val="center"/>
        </w:trPr>
        <w:tc>
          <w:tcPr>
            <w:tcW w:w="89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4.8</w:t>
            </w:r>
          </w:p>
        </w:tc>
        <w:tc>
          <w:tcPr>
            <w:tcW w:w="245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维修密码支持</w:t>
            </w:r>
          </w:p>
        </w:tc>
        <w:tc>
          <w:tcPr>
            <w:tcW w:w="47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开放</w:t>
            </w:r>
          </w:p>
        </w:tc>
        <w:tc>
          <w:tcPr>
            <w:tcW w:w="1022"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color w:val="FF0000"/>
                <w:kern w:val="0"/>
                <w:sz w:val="21"/>
                <w:szCs w:val="21"/>
              </w:rPr>
            </w:pPr>
          </w:p>
        </w:tc>
      </w:tr>
      <w:tr>
        <w:tblPrEx>
          <w:tblCellMar>
            <w:top w:w="0" w:type="dxa"/>
            <w:left w:w="108" w:type="dxa"/>
            <w:bottom w:w="0" w:type="dxa"/>
            <w:right w:w="108" w:type="dxa"/>
          </w:tblCellMar>
        </w:tblPrEx>
        <w:trPr>
          <w:trHeight w:val="510" w:hRule="atLeast"/>
          <w:jc w:val="center"/>
        </w:trPr>
        <w:tc>
          <w:tcPr>
            <w:tcW w:w="89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4.9</w:t>
            </w:r>
          </w:p>
        </w:tc>
        <w:tc>
          <w:tcPr>
            <w:tcW w:w="245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升级</w:t>
            </w:r>
          </w:p>
        </w:tc>
        <w:tc>
          <w:tcPr>
            <w:tcW w:w="47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终身免费软件升级</w:t>
            </w:r>
          </w:p>
        </w:tc>
        <w:tc>
          <w:tcPr>
            <w:tcW w:w="1022"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color w:val="FF0000"/>
                <w:kern w:val="0"/>
                <w:sz w:val="21"/>
                <w:szCs w:val="21"/>
              </w:rPr>
            </w:pPr>
          </w:p>
        </w:tc>
      </w:tr>
      <w:tr>
        <w:tblPrEx>
          <w:tblCellMar>
            <w:top w:w="0" w:type="dxa"/>
            <w:left w:w="108" w:type="dxa"/>
            <w:bottom w:w="0" w:type="dxa"/>
            <w:right w:w="108" w:type="dxa"/>
          </w:tblCellMar>
        </w:tblPrEx>
        <w:trPr>
          <w:trHeight w:val="510" w:hRule="atLeast"/>
          <w:jc w:val="center"/>
        </w:trPr>
        <w:tc>
          <w:tcPr>
            <w:tcW w:w="89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4.10</w:t>
            </w:r>
          </w:p>
        </w:tc>
        <w:tc>
          <w:tcPr>
            <w:tcW w:w="24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使用培训</w:t>
            </w:r>
          </w:p>
        </w:tc>
        <w:tc>
          <w:tcPr>
            <w:tcW w:w="47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支持</w:t>
            </w:r>
          </w:p>
        </w:tc>
        <w:tc>
          <w:tcPr>
            <w:tcW w:w="1022"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color w:val="FF0000"/>
                <w:kern w:val="0"/>
                <w:sz w:val="21"/>
                <w:szCs w:val="21"/>
              </w:rPr>
            </w:pPr>
          </w:p>
        </w:tc>
      </w:tr>
      <w:tr>
        <w:tblPrEx>
          <w:tblCellMar>
            <w:top w:w="0" w:type="dxa"/>
            <w:left w:w="108" w:type="dxa"/>
            <w:bottom w:w="0" w:type="dxa"/>
            <w:right w:w="108" w:type="dxa"/>
          </w:tblCellMar>
        </w:tblPrEx>
        <w:trPr>
          <w:trHeight w:val="510" w:hRule="atLeast"/>
          <w:jc w:val="center"/>
        </w:trPr>
        <w:tc>
          <w:tcPr>
            <w:tcW w:w="89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4.11</w:t>
            </w:r>
          </w:p>
        </w:tc>
        <w:tc>
          <w:tcPr>
            <w:tcW w:w="24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工程师培训</w:t>
            </w:r>
          </w:p>
        </w:tc>
        <w:tc>
          <w:tcPr>
            <w:tcW w:w="47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支持</w:t>
            </w:r>
          </w:p>
        </w:tc>
        <w:tc>
          <w:tcPr>
            <w:tcW w:w="1022"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p>
        </w:tc>
      </w:tr>
    </w:tbl>
    <w:p>
      <w:pPr>
        <w:widowControl/>
        <w:jc w:val="left"/>
        <w:rPr>
          <w:rFonts w:cs="Times New Roman" w:asciiTheme="minorEastAsia" w:hAnsiTheme="minorEastAsia"/>
          <w:b/>
          <w:bCs/>
          <w:sz w:val="28"/>
          <w:szCs w:val="28"/>
        </w:rPr>
      </w:pPr>
    </w:p>
    <w:sectPr>
      <w:headerReference r:id="rId11"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altName w:val="Arial Unicode MS"/>
    <w:panose1 w:val="00000000000000000000"/>
    <w:charset w:val="86"/>
    <w:family w:val="auto"/>
    <w:pitch w:val="default"/>
    <w:sig w:usb0="00000000" w:usb1="00000000" w:usb2="00000016" w:usb3="00000000" w:csb0="0004000F"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1</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4</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30</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报价方须知</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谈判文件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报价文件格式</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abstractNum w:abstractNumId="1">
    <w:nsid w:val="6747758D"/>
    <w:multiLevelType w:val="singleLevel"/>
    <w:tmpl w:val="6747758D"/>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201"/>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F19EE"/>
    <w:rsid w:val="0002753B"/>
    <w:rsid w:val="00027CF2"/>
    <w:rsid w:val="00037330"/>
    <w:rsid w:val="000404BD"/>
    <w:rsid w:val="00040F12"/>
    <w:rsid w:val="000532D8"/>
    <w:rsid w:val="00054C92"/>
    <w:rsid w:val="00057277"/>
    <w:rsid w:val="00064303"/>
    <w:rsid w:val="00071DFE"/>
    <w:rsid w:val="00073ED3"/>
    <w:rsid w:val="00082A64"/>
    <w:rsid w:val="00082E7E"/>
    <w:rsid w:val="0009494E"/>
    <w:rsid w:val="00094D66"/>
    <w:rsid w:val="0009631F"/>
    <w:rsid w:val="000A16A1"/>
    <w:rsid w:val="000A2365"/>
    <w:rsid w:val="000A47EE"/>
    <w:rsid w:val="000A574E"/>
    <w:rsid w:val="000B6DC5"/>
    <w:rsid w:val="000C05CF"/>
    <w:rsid w:val="000C28D4"/>
    <w:rsid w:val="000D1A63"/>
    <w:rsid w:val="000D2147"/>
    <w:rsid w:val="000D6D49"/>
    <w:rsid w:val="000E0A41"/>
    <w:rsid w:val="000E203F"/>
    <w:rsid w:val="000E24CF"/>
    <w:rsid w:val="000F0E66"/>
    <w:rsid w:val="000F19EE"/>
    <w:rsid w:val="00101A4E"/>
    <w:rsid w:val="001146EE"/>
    <w:rsid w:val="001175A3"/>
    <w:rsid w:val="00126E2A"/>
    <w:rsid w:val="0013652C"/>
    <w:rsid w:val="00140433"/>
    <w:rsid w:val="00141DF3"/>
    <w:rsid w:val="00144AC9"/>
    <w:rsid w:val="00146B8C"/>
    <w:rsid w:val="00151352"/>
    <w:rsid w:val="00153547"/>
    <w:rsid w:val="00154A37"/>
    <w:rsid w:val="00156746"/>
    <w:rsid w:val="00162B7C"/>
    <w:rsid w:val="00162BA1"/>
    <w:rsid w:val="00165CC1"/>
    <w:rsid w:val="00167E17"/>
    <w:rsid w:val="00172231"/>
    <w:rsid w:val="00174EC9"/>
    <w:rsid w:val="00175656"/>
    <w:rsid w:val="00180B18"/>
    <w:rsid w:val="001811A8"/>
    <w:rsid w:val="00187861"/>
    <w:rsid w:val="001A083F"/>
    <w:rsid w:val="001A14C3"/>
    <w:rsid w:val="001A4FD9"/>
    <w:rsid w:val="001B14E3"/>
    <w:rsid w:val="001B7705"/>
    <w:rsid w:val="001D0023"/>
    <w:rsid w:val="001D1B14"/>
    <w:rsid w:val="001E3296"/>
    <w:rsid w:val="001E34F3"/>
    <w:rsid w:val="001E460B"/>
    <w:rsid w:val="0021329F"/>
    <w:rsid w:val="00214820"/>
    <w:rsid w:val="00224E5F"/>
    <w:rsid w:val="00226556"/>
    <w:rsid w:val="0023780A"/>
    <w:rsid w:val="002425C9"/>
    <w:rsid w:val="002474B3"/>
    <w:rsid w:val="00262C6B"/>
    <w:rsid w:val="00265A44"/>
    <w:rsid w:val="00282E06"/>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E3D9F"/>
    <w:rsid w:val="002F1927"/>
    <w:rsid w:val="003027C7"/>
    <w:rsid w:val="00303E33"/>
    <w:rsid w:val="003222A0"/>
    <w:rsid w:val="003407DF"/>
    <w:rsid w:val="00344422"/>
    <w:rsid w:val="003470EC"/>
    <w:rsid w:val="00354E1F"/>
    <w:rsid w:val="003813C8"/>
    <w:rsid w:val="0038362B"/>
    <w:rsid w:val="00384C3A"/>
    <w:rsid w:val="00387C50"/>
    <w:rsid w:val="0039032C"/>
    <w:rsid w:val="003A0065"/>
    <w:rsid w:val="003A0B24"/>
    <w:rsid w:val="003B09EC"/>
    <w:rsid w:val="003B09F3"/>
    <w:rsid w:val="003B3BD0"/>
    <w:rsid w:val="003C0056"/>
    <w:rsid w:val="003C64FC"/>
    <w:rsid w:val="003C7F91"/>
    <w:rsid w:val="003D19FD"/>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E0DFC"/>
    <w:rsid w:val="004E0F38"/>
    <w:rsid w:val="004E18EC"/>
    <w:rsid w:val="004E35E3"/>
    <w:rsid w:val="004E6AEB"/>
    <w:rsid w:val="004F142D"/>
    <w:rsid w:val="004F5E12"/>
    <w:rsid w:val="00503A7C"/>
    <w:rsid w:val="00511818"/>
    <w:rsid w:val="005222C3"/>
    <w:rsid w:val="00522CA7"/>
    <w:rsid w:val="00531671"/>
    <w:rsid w:val="005326D1"/>
    <w:rsid w:val="00532B1E"/>
    <w:rsid w:val="00533850"/>
    <w:rsid w:val="00537FF9"/>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F2C28"/>
    <w:rsid w:val="005F3E10"/>
    <w:rsid w:val="006210E0"/>
    <w:rsid w:val="0062692F"/>
    <w:rsid w:val="006325D8"/>
    <w:rsid w:val="00635860"/>
    <w:rsid w:val="00636412"/>
    <w:rsid w:val="00636E2D"/>
    <w:rsid w:val="006419F8"/>
    <w:rsid w:val="006437F7"/>
    <w:rsid w:val="00643BF5"/>
    <w:rsid w:val="00647E07"/>
    <w:rsid w:val="006508EA"/>
    <w:rsid w:val="006624BA"/>
    <w:rsid w:val="00662CCA"/>
    <w:rsid w:val="006638B8"/>
    <w:rsid w:val="00672503"/>
    <w:rsid w:val="00677854"/>
    <w:rsid w:val="006846E0"/>
    <w:rsid w:val="00690F39"/>
    <w:rsid w:val="00692DE9"/>
    <w:rsid w:val="00696F01"/>
    <w:rsid w:val="006979A0"/>
    <w:rsid w:val="006A10C1"/>
    <w:rsid w:val="006A14FA"/>
    <w:rsid w:val="006A28DE"/>
    <w:rsid w:val="006A7511"/>
    <w:rsid w:val="006B13AA"/>
    <w:rsid w:val="006B2818"/>
    <w:rsid w:val="006B6AC3"/>
    <w:rsid w:val="006C1CF4"/>
    <w:rsid w:val="006C6D5D"/>
    <w:rsid w:val="006D2D2E"/>
    <w:rsid w:val="006D6637"/>
    <w:rsid w:val="006E2984"/>
    <w:rsid w:val="006E5F9F"/>
    <w:rsid w:val="006E67F2"/>
    <w:rsid w:val="006F15B6"/>
    <w:rsid w:val="006F181B"/>
    <w:rsid w:val="006F40A6"/>
    <w:rsid w:val="00707914"/>
    <w:rsid w:val="007122C0"/>
    <w:rsid w:val="00717C01"/>
    <w:rsid w:val="007264A9"/>
    <w:rsid w:val="0073357E"/>
    <w:rsid w:val="00735A12"/>
    <w:rsid w:val="0074178F"/>
    <w:rsid w:val="0074760E"/>
    <w:rsid w:val="00756021"/>
    <w:rsid w:val="0076171C"/>
    <w:rsid w:val="0077103A"/>
    <w:rsid w:val="007824F3"/>
    <w:rsid w:val="00791442"/>
    <w:rsid w:val="0079179A"/>
    <w:rsid w:val="0079773B"/>
    <w:rsid w:val="007A278C"/>
    <w:rsid w:val="007A403E"/>
    <w:rsid w:val="007B376E"/>
    <w:rsid w:val="007C03E1"/>
    <w:rsid w:val="007C0768"/>
    <w:rsid w:val="007C0CB8"/>
    <w:rsid w:val="007C3F3E"/>
    <w:rsid w:val="007C6BF1"/>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720F"/>
    <w:rsid w:val="00853C33"/>
    <w:rsid w:val="00856888"/>
    <w:rsid w:val="0086373E"/>
    <w:rsid w:val="008642CB"/>
    <w:rsid w:val="00864CD8"/>
    <w:rsid w:val="008729B3"/>
    <w:rsid w:val="00880DAF"/>
    <w:rsid w:val="00882004"/>
    <w:rsid w:val="0088203F"/>
    <w:rsid w:val="00884F76"/>
    <w:rsid w:val="008A18DE"/>
    <w:rsid w:val="008A52B6"/>
    <w:rsid w:val="008C2787"/>
    <w:rsid w:val="008C7216"/>
    <w:rsid w:val="008D38DC"/>
    <w:rsid w:val="008D583C"/>
    <w:rsid w:val="008E0677"/>
    <w:rsid w:val="008E3548"/>
    <w:rsid w:val="008E43CB"/>
    <w:rsid w:val="008F2ED3"/>
    <w:rsid w:val="008F3C8F"/>
    <w:rsid w:val="008F3D33"/>
    <w:rsid w:val="008F4528"/>
    <w:rsid w:val="008F7856"/>
    <w:rsid w:val="0090127B"/>
    <w:rsid w:val="00903989"/>
    <w:rsid w:val="009056D6"/>
    <w:rsid w:val="00916D12"/>
    <w:rsid w:val="00932621"/>
    <w:rsid w:val="009350B3"/>
    <w:rsid w:val="00942048"/>
    <w:rsid w:val="0094231D"/>
    <w:rsid w:val="00946502"/>
    <w:rsid w:val="009478E9"/>
    <w:rsid w:val="009727C6"/>
    <w:rsid w:val="00977600"/>
    <w:rsid w:val="00977E68"/>
    <w:rsid w:val="00993AD3"/>
    <w:rsid w:val="009942A5"/>
    <w:rsid w:val="009959AD"/>
    <w:rsid w:val="009A1A23"/>
    <w:rsid w:val="009B25A3"/>
    <w:rsid w:val="009C35C9"/>
    <w:rsid w:val="009C364C"/>
    <w:rsid w:val="009C534C"/>
    <w:rsid w:val="009D2C79"/>
    <w:rsid w:val="009D7580"/>
    <w:rsid w:val="009D7DC2"/>
    <w:rsid w:val="009E5E21"/>
    <w:rsid w:val="009F0E89"/>
    <w:rsid w:val="009F28E6"/>
    <w:rsid w:val="009F315B"/>
    <w:rsid w:val="009F5C3F"/>
    <w:rsid w:val="00A03B1E"/>
    <w:rsid w:val="00A072CB"/>
    <w:rsid w:val="00A20EFA"/>
    <w:rsid w:val="00A2139C"/>
    <w:rsid w:val="00A23F41"/>
    <w:rsid w:val="00A24FFB"/>
    <w:rsid w:val="00A272F7"/>
    <w:rsid w:val="00A27C6B"/>
    <w:rsid w:val="00A45B45"/>
    <w:rsid w:val="00A522F8"/>
    <w:rsid w:val="00A56167"/>
    <w:rsid w:val="00A6539D"/>
    <w:rsid w:val="00A6734F"/>
    <w:rsid w:val="00A74755"/>
    <w:rsid w:val="00A829B8"/>
    <w:rsid w:val="00A93B99"/>
    <w:rsid w:val="00AA43E5"/>
    <w:rsid w:val="00AA4E34"/>
    <w:rsid w:val="00AB444E"/>
    <w:rsid w:val="00AC5A6B"/>
    <w:rsid w:val="00AC74FF"/>
    <w:rsid w:val="00AD20F1"/>
    <w:rsid w:val="00AD7FB4"/>
    <w:rsid w:val="00AE412B"/>
    <w:rsid w:val="00AE4417"/>
    <w:rsid w:val="00AE46A0"/>
    <w:rsid w:val="00AE5AAA"/>
    <w:rsid w:val="00AE75BE"/>
    <w:rsid w:val="00AF1575"/>
    <w:rsid w:val="00AF4EC1"/>
    <w:rsid w:val="00AF5267"/>
    <w:rsid w:val="00AF7CD4"/>
    <w:rsid w:val="00B01F17"/>
    <w:rsid w:val="00B0405D"/>
    <w:rsid w:val="00B05B52"/>
    <w:rsid w:val="00B0623F"/>
    <w:rsid w:val="00B06F59"/>
    <w:rsid w:val="00B10A6E"/>
    <w:rsid w:val="00B14E99"/>
    <w:rsid w:val="00B242E3"/>
    <w:rsid w:val="00B2575B"/>
    <w:rsid w:val="00B30981"/>
    <w:rsid w:val="00B32656"/>
    <w:rsid w:val="00B40B03"/>
    <w:rsid w:val="00B57CA4"/>
    <w:rsid w:val="00B6394A"/>
    <w:rsid w:val="00B66C1E"/>
    <w:rsid w:val="00B67EE1"/>
    <w:rsid w:val="00B741B4"/>
    <w:rsid w:val="00B7741D"/>
    <w:rsid w:val="00B77425"/>
    <w:rsid w:val="00B8070C"/>
    <w:rsid w:val="00B80D48"/>
    <w:rsid w:val="00B81FFF"/>
    <w:rsid w:val="00B91398"/>
    <w:rsid w:val="00BA32A2"/>
    <w:rsid w:val="00BA55FB"/>
    <w:rsid w:val="00BB5DEA"/>
    <w:rsid w:val="00BC102B"/>
    <w:rsid w:val="00BC12B2"/>
    <w:rsid w:val="00BD07A7"/>
    <w:rsid w:val="00BD5F97"/>
    <w:rsid w:val="00BD7A73"/>
    <w:rsid w:val="00BD7E70"/>
    <w:rsid w:val="00BE6EB9"/>
    <w:rsid w:val="00BE759A"/>
    <w:rsid w:val="00BF1317"/>
    <w:rsid w:val="00BF67AD"/>
    <w:rsid w:val="00BF767A"/>
    <w:rsid w:val="00C0262E"/>
    <w:rsid w:val="00C040B7"/>
    <w:rsid w:val="00C114CF"/>
    <w:rsid w:val="00C14157"/>
    <w:rsid w:val="00C152D6"/>
    <w:rsid w:val="00C34FD4"/>
    <w:rsid w:val="00C37536"/>
    <w:rsid w:val="00C37A4A"/>
    <w:rsid w:val="00C443A8"/>
    <w:rsid w:val="00C464AC"/>
    <w:rsid w:val="00C475A2"/>
    <w:rsid w:val="00C5456B"/>
    <w:rsid w:val="00C63B8C"/>
    <w:rsid w:val="00C64A94"/>
    <w:rsid w:val="00C7014A"/>
    <w:rsid w:val="00C76787"/>
    <w:rsid w:val="00C8222E"/>
    <w:rsid w:val="00C834FA"/>
    <w:rsid w:val="00C840DC"/>
    <w:rsid w:val="00C84595"/>
    <w:rsid w:val="00C8795F"/>
    <w:rsid w:val="00C929CC"/>
    <w:rsid w:val="00CB02C8"/>
    <w:rsid w:val="00CB1178"/>
    <w:rsid w:val="00CB35B5"/>
    <w:rsid w:val="00CB37F9"/>
    <w:rsid w:val="00CC1FAE"/>
    <w:rsid w:val="00CD3A99"/>
    <w:rsid w:val="00CD46E0"/>
    <w:rsid w:val="00CE4AC8"/>
    <w:rsid w:val="00CE66D3"/>
    <w:rsid w:val="00D12374"/>
    <w:rsid w:val="00D12ABC"/>
    <w:rsid w:val="00D1746D"/>
    <w:rsid w:val="00D21D08"/>
    <w:rsid w:val="00D27EB7"/>
    <w:rsid w:val="00D37ADF"/>
    <w:rsid w:val="00D40A20"/>
    <w:rsid w:val="00D47BC2"/>
    <w:rsid w:val="00D51588"/>
    <w:rsid w:val="00D53C28"/>
    <w:rsid w:val="00D562CF"/>
    <w:rsid w:val="00D7048A"/>
    <w:rsid w:val="00D823BA"/>
    <w:rsid w:val="00D82951"/>
    <w:rsid w:val="00D93183"/>
    <w:rsid w:val="00D977E8"/>
    <w:rsid w:val="00DA402D"/>
    <w:rsid w:val="00DA600D"/>
    <w:rsid w:val="00DA6119"/>
    <w:rsid w:val="00DA6CAB"/>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05EF1"/>
    <w:rsid w:val="00E12058"/>
    <w:rsid w:val="00E20928"/>
    <w:rsid w:val="00E26DAD"/>
    <w:rsid w:val="00E3174A"/>
    <w:rsid w:val="00E41380"/>
    <w:rsid w:val="00E46E3C"/>
    <w:rsid w:val="00E5386A"/>
    <w:rsid w:val="00E60B3D"/>
    <w:rsid w:val="00E74634"/>
    <w:rsid w:val="00E7484E"/>
    <w:rsid w:val="00E838D5"/>
    <w:rsid w:val="00E8648F"/>
    <w:rsid w:val="00E90F02"/>
    <w:rsid w:val="00E9244B"/>
    <w:rsid w:val="00E94981"/>
    <w:rsid w:val="00EA0E56"/>
    <w:rsid w:val="00EA61B3"/>
    <w:rsid w:val="00EB77AB"/>
    <w:rsid w:val="00EC796A"/>
    <w:rsid w:val="00EF4889"/>
    <w:rsid w:val="00F004DF"/>
    <w:rsid w:val="00F00713"/>
    <w:rsid w:val="00F01F2D"/>
    <w:rsid w:val="00F02BBD"/>
    <w:rsid w:val="00F052C5"/>
    <w:rsid w:val="00F10DAD"/>
    <w:rsid w:val="00F11CF3"/>
    <w:rsid w:val="00F24887"/>
    <w:rsid w:val="00F2646C"/>
    <w:rsid w:val="00F42021"/>
    <w:rsid w:val="00F429F8"/>
    <w:rsid w:val="00F448A7"/>
    <w:rsid w:val="00F463BE"/>
    <w:rsid w:val="00F54CD2"/>
    <w:rsid w:val="00F5553D"/>
    <w:rsid w:val="00F55708"/>
    <w:rsid w:val="00F61B44"/>
    <w:rsid w:val="00F710C9"/>
    <w:rsid w:val="00F72C5F"/>
    <w:rsid w:val="00F75355"/>
    <w:rsid w:val="00F76A38"/>
    <w:rsid w:val="00F77CF0"/>
    <w:rsid w:val="00F83A0A"/>
    <w:rsid w:val="00F8495E"/>
    <w:rsid w:val="00F94D11"/>
    <w:rsid w:val="00FA4E4F"/>
    <w:rsid w:val="00FB1BBC"/>
    <w:rsid w:val="00FB2E1B"/>
    <w:rsid w:val="00FB5116"/>
    <w:rsid w:val="00FB5E65"/>
    <w:rsid w:val="00FC15F7"/>
    <w:rsid w:val="00FC33D8"/>
    <w:rsid w:val="00FC4F28"/>
    <w:rsid w:val="00FD5363"/>
    <w:rsid w:val="00FE133A"/>
    <w:rsid w:val="00FE2A78"/>
    <w:rsid w:val="00FE2B3B"/>
    <w:rsid w:val="00FF019E"/>
    <w:rsid w:val="00FF5ABB"/>
    <w:rsid w:val="00FF768E"/>
    <w:rsid w:val="020E12B9"/>
    <w:rsid w:val="06BF54F2"/>
    <w:rsid w:val="0AA213C0"/>
    <w:rsid w:val="0BEE6F0F"/>
    <w:rsid w:val="0E1F1AF4"/>
    <w:rsid w:val="0FB820C6"/>
    <w:rsid w:val="1B58484D"/>
    <w:rsid w:val="1D711FB7"/>
    <w:rsid w:val="1F4777B8"/>
    <w:rsid w:val="20AF24D6"/>
    <w:rsid w:val="24423126"/>
    <w:rsid w:val="28670F72"/>
    <w:rsid w:val="2C630F6B"/>
    <w:rsid w:val="2FD07A0F"/>
    <w:rsid w:val="314236DE"/>
    <w:rsid w:val="36862598"/>
    <w:rsid w:val="36BD30D5"/>
    <w:rsid w:val="3A832D70"/>
    <w:rsid w:val="3BED7056"/>
    <w:rsid w:val="3E505156"/>
    <w:rsid w:val="3F75531B"/>
    <w:rsid w:val="3FD442CC"/>
    <w:rsid w:val="46B24989"/>
    <w:rsid w:val="47FF509D"/>
    <w:rsid w:val="4C446202"/>
    <w:rsid w:val="4DBA5274"/>
    <w:rsid w:val="4E7F5714"/>
    <w:rsid w:val="4FF03363"/>
    <w:rsid w:val="5098596E"/>
    <w:rsid w:val="50C23962"/>
    <w:rsid w:val="51B01383"/>
    <w:rsid w:val="52320493"/>
    <w:rsid w:val="533C1853"/>
    <w:rsid w:val="56887DD1"/>
    <w:rsid w:val="5A151469"/>
    <w:rsid w:val="5AA0403C"/>
    <w:rsid w:val="5C555849"/>
    <w:rsid w:val="605201F9"/>
    <w:rsid w:val="620222F3"/>
    <w:rsid w:val="621D0F7A"/>
    <w:rsid w:val="629219B7"/>
    <w:rsid w:val="656F7344"/>
    <w:rsid w:val="698F45D2"/>
    <w:rsid w:val="6D0D51D2"/>
    <w:rsid w:val="6EB47812"/>
    <w:rsid w:val="6F770516"/>
    <w:rsid w:val="6FAC3495"/>
    <w:rsid w:val="726835A5"/>
    <w:rsid w:val="7A0B5A99"/>
    <w:rsid w:val="7D1A25C4"/>
    <w:rsid w:val="7EC57C1E"/>
    <w:rsid w:val="7EDB68A1"/>
    <w:rsid w:val="7F4D06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Body Text 2"/>
    <w:basedOn w:val="1"/>
    <w:link w:val="30"/>
    <w:qFormat/>
    <w:uiPriority w:val="0"/>
    <w:pPr>
      <w:jc w:val="center"/>
    </w:pPr>
    <w:rPr>
      <w:rFonts w:ascii="Times New Roman" w:hAnsi="Times New Roman" w:eastAsia="宋体" w:cs="Times New Roman"/>
      <w:kern w:val="0"/>
      <w:szCs w:val="24"/>
    </w:rPr>
  </w:style>
  <w:style w:type="paragraph" w:styleId="15">
    <w:name w:val="Normal (Web)"/>
    <w:basedOn w:val="1"/>
    <w:unhideWhenUsed/>
    <w:qFormat/>
    <w:uiPriority w:val="99"/>
    <w:pPr>
      <w:spacing w:line="360" w:lineRule="auto"/>
    </w:pPr>
    <w:rPr>
      <w:rFonts w:ascii="Calibri" w:hAnsi="Calibri" w:eastAsia="宋体" w:cs="Times New Roman"/>
      <w:sz w:val="24"/>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4"/>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99"/>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customStyle="1" w:styleId="46">
    <w:name w:val="_Style 45"/>
    <w:basedOn w:val="1"/>
    <w:next w:val="47"/>
    <w:qFormat/>
    <w:uiPriority w:val="34"/>
    <w:pPr>
      <w:ind w:firstLine="420" w:firstLineChars="200"/>
    </w:pPr>
    <w:rPr>
      <w:rFonts w:ascii="等线" w:hAnsi="等线" w:eastAsia="等线" w:cs="Times New Roman"/>
    </w:rPr>
  </w:style>
  <w:style w:type="paragraph" w:styleId="47">
    <w:name w:val="List Paragraph"/>
    <w:basedOn w:val="1"/>
    <w:qFormat/>
    <w:uiPriority w:val="34"/>
    <w:pPr>
      <w:ind w:firstLine="420" w:firstLineChars="200"/>
    </w:pPr>
  </w:style>
  <w:style w:type="paragraph" w:customStyle="1" w:styleId="48">
    <w:name w:val="msolistparagraph"/>
    <w:qFormat/>
    <w:uiPriority w:val="0"/>
    <w:pPr>
      <w:widowControl w:val="0"/>
      <w:ind w:firstLine="420" w:firstLineChars="20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32"/>
    <customShpInfo spid="_x0000_s1031"/>
    <customShpInfo spid="_x0000_s1034"/>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52E067-7E7B-4999-A0FB-B4E9ABA9C882}">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5073</Words>
  <Characters>28922</Characters>
  <Lines>241</Lines>
  <Paragraphs>67</Paragraphs>
  <TotalTime>1</TotalTime>
  <ScaleCrop>false</ScaleCrop>
  <LinksUpToDate>false</LinksUpToDate>
  <CharactersWithSpaces>33928</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2016-06-29T06:49:00Z</dcterms:created>
  <dc:creator>Administrator</dc:creator>
  <cp:lastModifiedBy>Administrator</cp:lastModifiedBy>
  <cp:lastPrinted>2021-04-15T11:44:00Z</cp:lastPrinted>
  <dcterms:modified xsi:type="dcterms:W3CDTF">2021-04-16T07:19:31Z</dcterms:modified>
  <cp:revision>386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0B7FC23F535A483E8D11B2A234DBF5AE</vt:lpwstr>
  </property>
</Properties>
</file>